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s="Times New Roman"/>
          <w:sz w:val="22"/>
        </w:rPr>
        <w:id w:val="-1525247444"/>
        <w:docPartObj>
          <w:docPartGallery w:val="Cover Pages"/>
          <w:docPartUnique/>
        </w:docPartObj>
      </w:sdtPr>
      <w:sdtContent>
        <w:p w14:paraId="1B433B51" w14:textId="3FDAFFBE" w:rsidR="00956DDE" w:rsidRPr="00956DDE" w:rsidRDefault="00956DDE" w:rsidP="00956DDE">
          <w:pPr>
            <w:jc w:val="both"/>
            <w:rPr>
              <w:rFonts w:ascii="Calibri" w:eastAsia="Calibri" w:hAnsi="Calibri" w:cs="Times New Roman"/>
              <w:sz w:val="22"/>
            </w:rPr>
          </w:pPr>
        </w:p>
        <w:p w14:paraId="6C0878BC" w14:textId="77777777" w:rsidR="00FB2A0B" w:rsidRDefault="00FB2A0B" w:rsidP="00956DDE">
          <w:pPr>
            <w:pBdr>
              <w:bottom w:val="single" w:sz="8" w:space="4" w:color="009CCE"/>
            </w:pBdr>
            <w:spacing w:after="300"/>
            <w:contextualSpacing/>
            <w:jc w:val="both"/>
            <w:rPr>
              <w:rFonts w:ascii="Cambria" w:eastAsia="Times New Roman" w:hAnsi="Cambria" w:cs="Times New Roman"/>
              <w:color w:val="009CCE"/>
              <w:spacing w:val="5"/>
              <w:kern w:val="28"/>
              <w:sz w:val="52"/>
              <w:szCs w:val="52"/>
            </w:rPr>
          </w:pPr>
        </w:p>
        <w:p w14:paraId="7D474E4A" w14:textId="577DC6CD" w:rsidR="00956DDE" w:rsidRPr="00956DDE" w:rsidRDefault="00FB2A0B" w:rsidP="00956DDE">
          <w:pPr>
            <w:pBdr>
              <w:bottom w:val="single" w:sz="8" w:space="4" w:color="009CCE"/>
            </w:pBdr>
            <w:spacing w:after="300"/>
            <w:contextualSpacing/>
            <w:jc w:val="both"/>
            <w:rPr>
              <w:rFonts w:ascii="Cambria" w:eastAsia="Times New Roman" w:hAnsi="Cambria" w:cs="Times New Roman"/>
              <w:color w:val="009CCE"/>
              <w:spacing w:val="5"/>
              <w:kern w:val="28"/>
              <w:sz w:val="52"/>
              <w:szCs w:val="52"/>
            </w:rPr>
          </w:pPr>
          <w:r>
            <w:rPr>
              <w:rFonts w:ascii="Cambria" w:eastAsia="Times New Roman" w:hAnsi="Cambria" w:cs="Times New Roman"/>
              <w:color w:val="009CCE"/>
              <w:spacing w:val="5"/>
              <w:kern w:val="28"/>
              <w:sz w:val="52"/>
              <w:szCs w:val="52"/>
            </w:rPr>
            <w:t>Oakland Workforce Development Board</w:t>
          </w:r>
          <w:r w:rsidR="00A007F1">
            <w:rPr>
              <w:rFonts w:ascii="Cambria" w:eastAsia="Times New Roman" w:hAnsi="Cambria" w:cs="Times New Roman"/>
              <w:color w:val="009CCE"/>
              <w:spacing w:val="5"/>
              <w:kern w:val="28"/>
              <w:sz w:val="52"/>
              <w:szCs w:val="52"/>
            </w:rPr>
            <w:t xml:space="preserve"> PY 21-24 WIOA Local Plan</w:t>
          </w:r>
        </w:p>
        <w:p w14:paraId="59FBE790" w14:textId="323AC349" w:rsidR="00956DDE" w:rsidRPr="00956DDE" w:rsidRDefault="00956DDE" w:rsidP="00956DDE">
          <w:pPr>
            <w:jc w:val="both"/>
            <w:rPr>
              <w:rFonts w:ascii="Calibri" w:eastAsia="Calibri" w:hAnsi="Calibri" w:cs="Times New Roman"/>
              <w:sz w:val="22"/>
            </w:rPr>
          </w:pPr>
        </w:p>
        <w:p w14:paraId="2FEF5E66" w14:textId="6679682C" w:rsidR="00956DDE" w:rsidRPr="00956DDE" w:rsidRDefault="00956DDE" w:rsidP="00956DDE">
          <w:pPr>
            <w:jc w:val="both"/>
            <w:rPr>
              <w:rFonts w:ascii="Calibri" w:eastAsia="Calibri" w:hAnsi="Calibri" w:cs="Times New Roman"/>
              <w:sz w:val="22"/>
            </w:rPr>
          </w:pPr>
        </w:p>
        <w:p w14:paraId="0146CE08" w14:textId="73CD55DD" w:rsidR="00E04E55" w:rsidRPr="00E04E55" w:rsidRDefault="00E04E55" w:rsidP="00E04E55">
          <w:pPr>
            <w:rPr>
              <w:rFonts w:ascii="Times New Roman" w:eastAsia="Times New Roman" w:hAnsi="Times New Roman" w:cs="Times New Roman"/>
            </w:rPr>
          </w:pPr>
          <w:r w:rsidRPr="00E04E55">
            <w:rPr>
              <w:rFonts w:ascii="Times New Roman" w:eastAsia="Times New Roman" w:hAnsi="Times New Roman" w:cs="Times New Roman"/>
            </w:rPr>
            <w:fldChar w:fldCharType="begin"/>
          </w:r>
          <w:r w:rsidRPr="00E04E55">
            <w:rPr>
              <w:rFonts w:ascii="Times New Roman" w:eastAsia="Times New Roman" w:hAnsi="Times New Roman" w:cs="Times New Roman"/>
            </w:rPr>
            <w:instrText xml:space="preserve"> INCLUDEPICTURE "https://www.logolynx.com/images/logolynx/8b/8b8fd27696b677c82474746129cb2ea1.jpeg" \* MERGEFORMATINET </w:instrText>
          </w:r>
          <w:r w:rsidRPr="00E04E55">
            <w:rPr>
              <w:rFonts w:ascii="Times New Roman" w:eastAsia="Times New Roman" w:hAnsi="Times New Roman" w:cs="Times New Roman"/>
            </w:rPr>
            <w:fldChar w:fldCharType="end"/>
          </w:r>
        </w:p>
        <w:p w14:paraId="0D0535CA" w14:textId="3FEEE3DC" w:rsidR="00956DDE" w:rsidRPr="00956DDE" w:rsidRDefault="00956DDE" w:rsidP="00956DDE">
          <w:pPr>
            <w:jc w:val="both"/>
            <w:rPr>
              <w:rFonts w:ascii="Calibri" w:eastAsia="Calibri" w:hAnsi="Calibri" w:cs="Times New Roman"/>
              <w:sz w:val="22"/>
            </w:rPr>
          </w:pPr>
        </w:p>
        <w:p w14:paraId="1BED4BD8" w14:textId="0C291A54" w:rsidR="00956DDE" w:rsidRPr="00956DDE" w:rsidRDefault="00E53683" w:rsidP="00956DDE">
          <w:pPr>
            <w:jc w:val="both"/>
            <w:rPr>
              <w:rFonts w:ascii="Calibri" w:eastAsia="Calibri" w:hAnsi="Calibri" w:cs="Times New Roman"/>
              <w:sz w:val="22"/>
            </w:rPr>
          </w:pPr>
          <w:r>
            <w:rPr>
              <w:noProof/>
            </w:rPr>
            <w:drawing>
              <wp:anchor distT="0" distB="0" distL="114300" distR="114300" simplePos="0" relativeHeight="251665408" behindDoc="0" locked="0" layoutInCell="1" allowOverlap="1" wp14:anchorId="2171D515" wp14:editId="7D0943F4">
                <wp:simplePos x="0" y="0"/>
                <wp:positionH relativeFrom="column">
                  <wp:posOffset>-445770</wp:posOffset>
                </wp:positionH>
                <wp:positionV relativeFrom="paragraph">
                  <wp:posOffset>240665</wp:posOffset>
                </wp:positionV>
                <wp:extent cx="1793240" cy="1936750"/>
                <wp:effectExtent l="0" t="0" r="0" b="6350"/>
                <wp:wrapSquare wrapText="bothSides"/>
                <wp:docPr id="45" name="Picture 45" descr="/var/folders/hh/5j2s1l953db6_kkjm2l32gph0000gn/T/com.microsoft.Word/Content.MSO/D9CF7B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hh/5j2s1l953db6_kkjm2l32gph0000gn/T/com.microsoft.Word/Content.MSO/D9CF7B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240" cy="193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35F8D" w14:textId="2763F4D9" w:rsidR="00956DDE" w:rsidRPr="00956DDE" w:rsidRDefault="00E53683" w:rsidP="00956DDE">
          <w:pPr>
            <w:spacing w:after="120"/>
            <w:jc w:val="both"/>
            <w:rPr>
              <w:rFonts w:ascii="Calibri" w:eastAsia="Calibri" w:hAnsi="Calibri" w:cs="Times New Roman"/>
              <w:sz w:val="22"/>
            </w:rPr>
          </w:pPr>
          <w:r w:rsidRPr="00E04E55">
            <w:rPr>
              <w:rFonts w:ascii="Times New Roman" w:eastAsia="Times New Roman" w:hAnsi="Times New Roman" w:cs="Times New Roman"/>
              <w:noProof/>
            </w:rPr>
            <w:drawing>
              <wp:anchor distT="0" distB="0" distL="114300" distR="114300" simplePos="0" relativeHeight="251666432" behindDoc="0" locked="0" layoutInCell="1" allowOverlap="1" wp14:anchorId="43377B6F" wp14:editId="17F7CD5B">
                <wp:simplePos x="0" y="0"/>
                <wp:positionH relativeFrom="column">
                  <wp:posOffset>4591050</wp:posOffset>
                </wp:positionH>
                <wp:positionV relativeFrom="paragraph">
                  <wp:posOffset>133350</wp:posOffset>
                </wp:positionV>
                <wp:extent cx="1885950" cy="1467485"/>
                <wp:effectExtent l="0" t="0" r="0" b="0"/>
                <wp:wrapSquare wrapText="bothSides"/>
                <wp:docPr id="44" name="Picture 44" descr="City of oakla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oakland Log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146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5AC5E" w14:textId="52F4415B" w:rsidR="00956DDE" w:rsidRPr="00956DDE" w:rsidRDefault="00956DDE" w:rsidP="00956DDE">
          <w:pPr>
            <w:spacing w:after="120"/>
            <w:jc w:val="both"/>
            <w:rPr>
              <w:rFonts w:ascii="Calibri" w:eastAsia="Calibri" w:hAnsi="Calibri" w:cs="Times New Roman"/>
              <w:sz w:val="22"/>
            </w:rPr>
          </w:pPr>
        </w:p>
        <w:p w14:paraId="1AB03216" w14:textId="77777777" w:rsidR="00E04E55" w:rsidRDefault="00E04E55" w:rsidP="00956DDE">
          <w:pPr>
            <w:spacing w:after="120"/>
            <w:jc w:val="both"/>
            <w:rPr>
              <w:rFonts w:ascii="Calibri" w:eastAsia="Calibri" w:hAnsi="Calibri" w:cs="Times New Roman"/>
              <w:b/>
              <w:sz w:val="22"/>
            </w:rPr>
          </w:pPr>
        </w:p>
        <w:p w14:paraId="276E4DBE" w14:textId="77777777" w:rsidR="00E04E55" w:rsidRDefault="00E04E55" w:rsidP="00956DDE">
          <w:pPr>
            <w:spacing w:after="120"/>
            <w:jc w:val="both"/>
            <w:rPr>
              <w:rFonts w:ascii="Calibri" w:eastAsia="Calibri" w:hAnsi="Calibri" w:cs="Times New Roman"/>
              <w:b/>
              <w:sz w:val="22"/>
            </w:rPr>
          </w:pPr>
        </w:p>
        <w:p w14:paraId="6E63A1E9" w14:textId="77777777" w:rsidR="00E04E55" w:rsidRDefault="00E04E55" w:rsidP="00956DDE">
          <w:pPr>
            <w:spacing w:after="120"/>
            <w:jc w:val="both"/>
            <w:rPr>
              <w:rFonts w:ascii="Calibri" w:eastAsia="Calibri" w:hAnsi="Calibri" w:cs="Times New Roman"/>
              <w:b/>
              <w:sz w:val="22"/>
            </w:rPr>
          </w:pPr>
        </w:p>
        <w:p w14:paraId="6D73EF19" w14:textId="77777777" w:rsidR="00E04E55" w:rsidRDefault="00E04E55" w:rsidP="00956DDE">
          <w:pPr>
            <w:spacing w:after="120"/>
            <w:jc w:val="both"/>
            <w:rPr>
              <w:rFonts w:ascii="Calibri" w:eastAsia="Calibri" w:hAnsi="Calibri" w:cs="Times New Roman"/>
              <w:b/>
              <w:sz w:val="22"/>
            </w:rPr>
          </w:pPr>
        </w:p>
        <w:p w14:paraId="0055181D" w14:textId="763CF17B" w:rsidR="00E04E55" w:rsidRDefault="00E04E55" w:rsidP="00956DDE">
          <w:pPr>
            <w:spacing w:after="120"/>
            <w:jc w:val="both"/>
            <w:rPr>
              <w:rFonts w:ascii="Calibri" w:eastAsia="Calibri" w:hAnsi="Calibri" w:cs="Times New Roman"/>
              <w:b/>
              <w:sz w:val="22"/>
            </w:rPr>
          </w:pPr>
        </w:p>
        <w:p w14:paraId="1B08EC3A" w14:textId="4D7BD870" w:rsidR="00E70E1E" w:rsidRDefault="00E70E1E" w:rsidP="00956DDE">
          <w:pPr>
            <w:spacing w:after="120"/>
            <w:jc w:val="both"/>
            <w:rPr>
              <w:rFonts w:ascii="Calibri" w:eastAsia="Calibri" w:hAnsi="Calibri" w:cs="Times New Roman"/>
              <w:b/>
              <w:sz w:val="22"/>
            </w:rPr>
          </w:pPr>
        </w:p>
        <w:p w14:paraId="232B144F" w14:textId="46B6E973" w:rsidR="00E70E1E" w:rsidRDefault="00E70E1E" w:rsidP="00956DDE">
          <w:pPr>
            <w:spacing w:after="120"/>
            <w:jc w:val="both"/>
            <w:rPr>
              <w:rFonts w:ascii="Calibri" w:eastAsia="Calibri" w:hAnsi="Calibri" w:cs="Times New Roman"/>
              <w:b/>
              <w:sz w:val="22"/>
            </w:rPr>
          </w:pPr>
        </w:p>
        <w:p w14:paraId="7226B6F1" w14:textId="52453768" w:rsidR="00E70E1E" w:rsidRDefault="00E70E1E" w:rsidP="00956DDE">
          <w:pPr>
            <w:spacing w:after="120"/>
            <w:jc w:val="both"/>
            <w:rPr>
              <w:rFonts w:ascii="Calibri" w:eastAsia="Calibri" w:hAnsi="Calibri" w:cs="Times New Roman"/>
              <w:b/>
              <w:sz w:val="22"/>
            </w:rPr>
          </w:pPr>
        </w:p>
        <w:p w14:paraId="446B745C" w14:textId="695BD69E" w:rsidR="00E70E1E" w:rsidRDefault="00E70E1E" w:rsidP="00956DDE">
          <w:pPr>
            <w:spacing w:after="120"/>
            <w:jc w:val="both"/>
            <w:rPr>
              <w:rFonts w:ascii="Calibri" w:eastAsia="Calibri" w:hAnsi="Calibri" w:cs="Times New Roman"/>
              <w:b/>
              <w:sz w:val="22"/>
            </w:rPr>
          </w:pPr>
        </w:p>
        <w:p w14:paraId="03456C81" w14:textId="19604311" w:rsidR="00E70E1E" w:rsidRDefault="00E70E1E" w:rsidP="00956DDE">
          <w:pPr>
            <w:spacing w:after="120"/>
            <w:jc w:val="both"/>
            <w:rPr>
              <w:rFonts w:ascii="Calibri" w:eastAsia="Calibri" w:hAnsi="Calibri" w:cs="Times New Roman"/>
              <w:b/>
              <w:sz w:val="22"/>
            </w:rPr>
          </w:pPr>
        </w:p>
        <w:p w14:paraId="1CF9B17B" w14:textId="6C935209" w:rsidR="00E70E1E" w:rsidRDefault="00E70E1E" w:rsidP="00956DDE">
          <w:pPr>
            <w:spacing w:after="120"/>
            <w:jc w:val="both"/>
            <w:rPr>
              <w:rFonts w:ascii="Calibri" w:eastAsia="Calibri" w:hAnsi="Calibri" w:cs="Times New Roman"/>
              <w:b/>
              <w:sz w:val="22"/>
            </w:rPr>
          </w:pPr>
        </w:p>
        <w:p w14:paraId="6ABF0247" w14:textId="3CC743EC" w:rsidR="00E53683" w:rsidRDefault="00E53683" w:rsidP="00956DDE">
          <w:pPr>
            <w:spacing w:after="120"/>
            <w:jc w:val="both"/>
            <w:rPr>
              <w:rFonts w:ascii="Calibri" w:eastAsia="Calibri" w:hAnsi="Calibri" w:cs="Times New Roman"/>
              <w:b/>
              <w:sz w:val="22"/>
            </w:rPr>
          </w:pPr>
        </w:p>
        <w:p w14:paraId="43857E50" w14:textId="734BAB23" w:rsidR="00E53683" w:rsidRDefault="00E53683" w:rsidP="00956DDE">
          <w:pPr>
            <w:spacing w:after="120"/>
            <w:jc w:val="both"/>
            <w:rPr>
              <w:rFonts w:ascii="Calibri" w:eastAsia="Calibri" w:hAnsi="Calibri" w:cs="Times New Roman"/>
              <w:b/>
              <w:sz w:val="22"/>
            </w:rPr>
          </w:pPr>
        </w:p>
        <w:p w14:paraId="3D88AE26" w14:textId="3F8DC9E3" w:rsidR="00E70E1E" w:rsidRDefault="00E70E1E" w:rsidP="00956DDE">
          <w:pPr>
            <w:spacing w:after="120"/>
            <w:jc w:val="both"/>
            <w:rPr>
              <w:rFonts w:ascii="Calibri" w:eastAsia="Calibri" w:hAnsi="Calibri" w:cs="Times New Roman"/>
              <w:b/>
              <w:sz w:val="22"/>
            </w:rPr>
          </w:pPr>
        </w:p>
        <w:p w14:paraId="3D86DA63" w14:textId="7974E865" w:rsidR="00E70E1E" w:rsidRDefault="00E70E1E" w:rsidP="00956DDE">
          <w:pPr>
            <w:spacing w:after="120"/>
            <w:jc w:val="both"/>
            <w:rPr>
              <w:rFonts w:ascii="Calibri" w:eastAsia="Calibri" w:hAnsi="Calibri" w:cs="Times New Roman"/>
              <w:b/>
              <w:sz w:val="22"/>
            </w:rPr>
          </w:pPr>
        </w:p>
        <w:p w14:paraId="6C768DCE" w14:textId="77777777" w:rsidR="00E53683" w:rsidRDefault="00E53683" w:rsidP="00E53683">
          <w:pPr>
            <w:pStyle w:val="Heading1"/>
          </w:pPr>
          <w:r>
            <w:t xml:space="preserve">Contact Information: </w:t>
          </w:r>
        </w:p>
        <w:p w14:paraId="1B2AF62C" w14:textId="77777777" w:rsidR="00E53683" w:rsidRDefault="00E53683" w:rsidP="00E53683">
          <w:pPr>
            <w:pStyle w:val="Heading1"/>
          </w:pPr>
          <w:r>
            <w:t>Lazandra Dial, Executive Director</w:t>
          </w:r>
        </w:p>
        <w:p w14:paraId="5A32C3D5" w14:textId="77777777" w:rsidR="00E53683" w:rsidRDefault="00E53683" w:rsidP="00E53683">
          <w:pPr>
            <w:pStyle w:val="Heading1"/>
          </w:pPr>
          <w:r>
            <w:t>Phone Number: 510-238-3474</w:t>
          </w:r>
        </w:p>
        <w:p w14:paraId="688FB804" w14:textId="77777777" w:rsidR="00E53683" w:rsidRPr="00BD30A4" w:rsidRDefault="00E53683" w:rsidP="00E53683">
          <w:pPr>
            <w:pStyle w:val="Heading1"/>
          </w:pPr>
          <w:r>
            <w:t xml:space="preserve">Email Address: </w:t>
          </w:r>
          <w:r w:rsidRPr="00BD30A4">
            <w:t>LDial@oaklandca.gov</w:t>
          </w:r>
        </w:p>
        <w:p w14:paraId="15046221" w14:textId="64355424" w:rsidR="00E70E1E" w:rsidRDefault="00E70E1E" w:rsidP="00956DDE">
          <w:pPr>
            <w:spacing w:after="120"/>
            <w:jc w:val="both"/>
            <w:rPr>
              <w:rFonts w:ascii="Calibri" w:eastAsia="Calibri" w:hAnsi="Calibri" w:cs="Times New Roman"/>
              <w:b/>
              <w:sz w:val="22"/>
            </w:rPr>
          </w:pPr>
        </w:p>
        <w:p w14:paraId="40F9740C" w14:textId="301E3321" w:rsidR="00BD30A4" w:rsidRPr="00956DDE" w:rsidRDefault="00C25926" w:rsidP="00E70E1E">
          <w:pPr>
            <w:spacing w:after="120"/>
            <w:jc w:val="both"/>
            <w:rPr>
              <w:rFonts w:ascii="Cambria" w:eastAsia="Times New Roman" w:hAnsi="Cambria" w:cs="Times New Roman"/>
              <w:color w:val="009CCE"/>
              <w:spacing w:val="5"/>
              <w:kern w:val="28"/>
              <w:sz w:val="52"/>
              <w:szCs w:val="52"/>
            </w:rPr>
          </w:pPr>
        </w:p>
      </w:sdtContent>
    </w:sdt>
    <w:p w14:paraId="287A8FD9" w14:textId="0998AFDC" w:rsidR="00956DDE" w:rsidRPr="00956DDE" w:rsidRDefault="00956DDE" w:rsidP="00956DDE">
      <w:pPr>
        <w:jc w:val="both"/>
        <w:rPr>
          <w:rFonts w:ascii="Calibri" w:eastAsia="Calibri" w:hAnsi="Calibri" w:cs="Times New Roman"/>
          <w:sz w:val="22"/>
        </w:rPr>
      </w:pPr>
    </w:p>
    <w:p w14:paraId="5A332317" w14:textId="39CCD048" w:rsidR="00956DDE" w:rsidRPr="00956DDE" w:rsidRDefault="00DD4CFE" w:rsidP="00DD4CFE">
      <w:pPr>
        <w:pStyle w:val="Title1"/>
      </w:pPr>
      <w:r>
        <w:t xml:space="preserve">PY 21-24 WIOA Local Plan </w:t>
      </w:r>
    </w:p>
    <w:p w14:paraId="12856247" w14:textId="0370408A" w:rsidR="00A64A9B" w:rsidRDefault="00A64A9B" w:rsidP="00956DDE">
      <w:pPr>
        <w:keepNext/>
        <w:keepLines/>
        <w:jc w:val="both"/>
        <w:outlineLvl w:val="2"/>
        <w:rPr>
          <w:rFonts w:ascii="Cambria" w:eastAsia="Calibri" w:hAnsi="Cambria" w:cs="Times New Roman"/>
          <w:b/>
          <w:bCs/>
          <w:color w:val="009CCE"/>
          <w:sz w:val="28"/>
          <w:szCs w:val="28"/>
        </w:rPr>
      </w:pPr>
      <w:r>
        <w:rPr>
          <w:rFonts w:ascii="Cambria" w:eastAsia="Calibri" w:hAnsi="Cambria" w:cs="Times New Roman"/>
          <w:b/>
          <w:bCs/>
          <w:color w:val="009CCE"/>
          <w:sz w:val="28"/>
          <w:szCs w:val="28"/>
        </w:rPr>
        <w:t>Introduction</w:t>
      </w:r>
    </w:p>
    <w:p w14:paraId="0468AD27" w14:textId="3EC75B6E" w:rsidR="00A64A9B" w:rsidRDefault="00A64A9B" w:rsidP="00956DDE">
      <w:pPr>
        <w:keepNext/>
        <w:keepLines/>
        <w:jc w:val="both"/>
        <w:outlineLvl w:val="2"/>
        <w:rPr>
          <w:rFonts w:ascii="Cambria" w:eastAsia="Calibri" w:hAnsi="Cambria" w:cs="Times New Roman"/>
          <w:b/>
          <w:bCs/>
          <w:color w:val="009CCE"/>
          <w:sz w:val="28"/>
          <w:szCs w:val="28"/>
        </w:rPr>
      </w:pPr>
    </w:p>
    <w:p w14:paraId="010B4F86" w14:textId="396A559B" w:rsidR="00A64A9B" w:rsidRDefault="00A64A9B" w:rsidP="00F4256D">
      <w:pPr>
        <w:jc w:val="both"/>
      </w:pPr>
      <w:r>
        <w:t xml:space="preserve">The following PY21-24 WIOA Local Plan is issued </w:t>
      </w:r>
      <w:r w:rsidR="00D45E12">
        <w:t>by</w:t>
      </w:r>
      <w:r>
        <w:t xml:space="preserve"> the Oakland Workforce Development Board (OWDB). The </w:t>
      </w:r>
      <w:r w:rsidR="00BC1169">
        <w:t xml:space="preserve">OWDB </w:t>
      </w:r>
      <w:r>
        <w:t xml:space="preserve">Local Plan </w:t>
      </w:r>
      <w:r w:rsidR="00C400D3">
        <w:t>follows the California Employment Development Department (EDD) Directive #</w:t>
      </w:r>
      <w:r w:rsidR="00C400D3" w:rsidRPr="00C400D3">
        <w:t xml:space="preserve"> WSD20-05</w:t>
      </w:r>
      <w:r w:rsidR="00C400D3">
        <w:t xml:space="preserve"> issued on January 29, 2021. </w:t>
      </w:r>
    </w:p>
    <w:p w14:paraId="710791E2" w14:textId="4A746D85" w:rsidR="00A64A9B" w:rsidRDefault="00A64A9B" w:rsidP="00F4256D">
      <w:pPr>
        <w:keepNext/>
        <w:keepLines/>
        <w:jc w:val="both"/>
        <w:outlineLvl w:val="2"/>
        <w:rPr>
          <w:rFonts w:ascii="Cambria" w:eastAsia="Calibri" w:hAnsi="Cambria" w:cs="Times New Roman"/>
          <w:b/>
          <w:bCs/>
          <w:color w:val="009CCE"/>
          <w:sz w:val="28"/>
          <w:szCs w:val="28"/>
        </w:rPr>
      </w:pPr>
    </w:p>
    <w:p w14:paraId="6F9A6473" w14:textId="70D0A07F" w:rsidR="00A64A9B" w:rsidRDefault="00006722" w:rsidP="00F4256D">
      <w:pPr>
        <w:jc w:val="both"/>
      </w:pPr>
      <w:r>
        <w:t xml:space="preserve">Following the submission of the OWDB PY17-20 WIOA Local Plan, the City of Oakland </w:t>
      </w:r>
      <w:r w:rsidR="009F1BA0">
        <w:t xml:space="preserve">Department of Race and Equity developed its </w:t>
      </w:r>
      <w:hyperlink r:id="rId10" w:history="1">
        <w:r w:rsidR="009F1BA0" w:rsidRPr="002D28D6">
          <w:rPr>
            <w:rStyle w:val="Hyperlink"/>
          </w:rPr>
          <w:t>Oakland Equity Indicators Report</w:t>
        </w:r>
      </w:hyperlink>
      <w:r w:rsidR="009F1BA0">
        <w:t xml:space="preserve"> in 2018. </w:t>
      </w:r>
      <w:r w:rsidR="00F71A71">
        <w:t>The OWDB sees the Equity Indicators Report, along with the ongoing anti-racism work of the City’s Department of Race and Equity, as critically important in informing its work moving forward. Where applicable, indicators from the Equity Indicators Report are cross-walked with strategies in the OWDB PY21-24 Local Plan</w:t>
      </w:r>
      <w:r w:rsidR="00CD5FF4">
        <w:t>.</w:t>
      </w:r>
      <w:r w:rsidR="00F07201">
        <w:t xml:space="preserve"> </w:t>
      </w:r>
    </w:p>
    <w:p w14:paraId="0EAA17C9" w14:textId="2E5F2002" w:rsidR="00C25926" w:rsidRDefault="00C25926" w:rsidP="00F4256D">
      <w:pPr>
        <w:jc w:val="both"/>
      </w:pPr>
    </w:p>
    <w:p w14:paraId="125BCA17" w14:textId="080A7BD5" w:rsidR="00C25926" w:rsidRDefault="00C25926" w:rsidP="00F4256D">
      <w:pPr>
        <w:jc w:val="both"/>
      </w:pPr>
      <w:r>
        <w:t>The O</w:t>
      </w:r>
      <w:r w:rsidR="00E318AA">
        <w:t xml:space="preserve">WDB </w:t>
      </w:r>
      <w:r w:rsidR="00DF4D39">
        <w:t xml:space="preserve">conducted a Race and Equity Analysis in 2019 that highlighted disparities in five (5) zip codes in the City of Oakland. These communities experience higher rates of unemployment than the general population. With these communities in the forefront, the OWDB adopted a desired equitable outcome. The goal is “All Oaklanders have economic security and equitable access to workforce development services”. It is our intent with the implementation of the Local Plan to move closer to this goal. </w:t>
      </w:r>
    </w:p>
    <w:p w14:paraId="28B7909F" w14:textId="77777777" w:rsidR="00A64A9B" w:rsidRDefault="00A64A9B" w:rsidP="00956DDE">
      <w:pPr>
        <w:keepNext/>
        <w:keepLines/>
        <w:jc w:val="both"/>
        <w:outlineLvl w:val="2"/>
        <w:rPr>
          <w:rFonts w:ascii="Cambria" w:eastAsia="Calibri" w:hAnsi="Cambria" w:cs="Times New Roman"/>
          <w:b/>
          <w:bCs/>
          <w:color w:val="009CCE"/>
          <w:sz w:val="28"/>
          <w:szCs w:val="28"/>
        </w:rPr>
      </w:pPr>
    </w:p>
    <w:p w14:paraId="1429E8E1" w14:textId="627736FD" w:rsidR="00DD4CFE" w:rsidRDefault="00DD4CFE" w:rsidP="00956DDE">
      <w:pPr>
        <w:keepNext/>
        <w:keepLines/>
        <w:jc w:val="both"/>
        <w:outlineLvl w:val="2"/>
        <w:rPr>
          <w:rFonts w:ascii="Cambria" w:eastAsia="Calibri" w:hAnsi="Cambria" w:cs="Times New Roman"/>
          <w:b/>
          <w:bCs/>
          <w:color w:val="009CCE"/>
          <w:sz w:val="28"/>
          <w:szCs w:val="28"/>
        </w:rPr>
      </w:pPr>
      <w:r w:rsidRPr="00DD4CFE">
        <w:rPr>
          <w:rFonts w:ascii="Cambria" w:eastAsia="Calibri" w:hAnsi="Cambria" w:cs="Times New Roman"/>
          <w:b/>
          <w:bCs/>
          <w:color w:val="009CCE"/>
          <w:sz w:val="28"/>
          <w:szCs w:val="28"/>
        </w:rPr>
        <w:t>WIOA Core and Required Partner Coordination</w:t>
      </w:r>
    </w:p>
    <w:p w14:paraId="1D55B442" w14:textId="40344BBF" w:rsidR="007B2847" w:rsidRDefault="007B2847" w:rsidP="00AD7B14">
      <w:pPr>
        <w:spacing w:before="240" w:after="120"/>
        <w:rPr>
          <w:rFonts w:ascii="Cambria" w:eastAsia="Calibri" w:hAnsi="Cambria" w:cs="Times New Roman"/>
          <w:b/>
          <w:iCs/>
          <w:color w:val="282626"/>
          <w14:textFill>
            <w14:solidFill>
              <w14:srgbClr w14:val="282626">
                <w14:alpha w14:val="20000"/>
              </w14:srgbClr>
            </w14:solidFill>
          </w14:textFill>
        </w:rPr>
      </w:pPr>
      <w:r>
        <w:rPr>
          <w:rFonts w:ascii="Cambria" w:eastAsia="Calibri" w:hAnsi="Cambria" w:cs="Times New Roman"/>
          <w:b/>
          <w:iCs/>
          <w:color w:val="282626"/>
          <w14:textFill>
            <w14:solidFill>
              <w14:srgbClr w14:val="282626">
                <w14:alpha w14:val="20000"/>
              </w14:srgbClr>
            </w14:solidFill>
          </w14:textFill>
        </w:rPr>
        <w:t>L</w:t>
      </w:r>
      <w:r w:rsidRPr="007B2847">
        <w:rPr>
          <w:rFonts w:ascii="Cambria" w:eastAsia="Calibri" w:hAnsi="Cambria" w:cs="Times New Roman"/>
          <w:b/>
          <w:iCs/>
          <w:color w:val="282626"/>
          <w14:textFill>
            <w14:solidFill>
              <w14:srgbClr w14:val="282626">
                <w14:alpha w14:val="20000"/>
              </w14:srgbClr>
            </w14:solidFill>
          </w14:textFill>
        </w:rPr>
        <w:t xml:space="preserve">ocal Board </w:t>
      </w:r>
      <w:r w:rsidR="0058568D">
        <w:rPr>
          <w:rFonts w:ascii="Cambria" w:eastAsia="Calibri" w:hAnsi="Cambria" w:cs="Times New Roman"/>
          <w:b/>
          <w:iCs/>
          <w:color w:val="282626"/>
          <w14:textFill>
            <w14:solidFill>
              <w14:srgbClr w14:val="282626">
                <w14:alpha w14:val="20000"/>
              </w14:srgbClr>
            </w14:solidFill>
          </w14:textFill>
        </w:rPr>
        <w:t>&amp;</w:t>
      </w:r>
      <w:r w:rsidRPr="007B2847">
        <w:rPr>
          <w:rFonts w:ascii="Cambria" w:eastAsia="Calibri" w:hAnsi="Cambria" w:cs="Times New Roman"/>
          <w:b/>
          <w:iCs/>
          <w:color w:val="282626"/>
          <w14:textFill>
            <w14:solidFill>
              <w14:srgbClr w14:val="282626">
                <w14:alpha w14:val="20000"/>
              </w14:srgbClr>
            </w14:solidFill>
          </w14:textFill>
        </w:rPr>
        <w:t xml:space="preserve"> AJCC </w:t>
      </w:r>
      <w:r>
        <w:rPr>
          <w:rFonts w:ascii="Cambria" w:eastAsia="Calibri" w:hAnsi="Cambria" w:cs="Times New Roman"/>
          <w:b/>
          <w:iCs/>
          <w:color w:val="282626"/>
          <w14:textFill>
            <w14:solidFill>
              <w14:srgbClr w14:val="282626">
                <w14:alpha w14:val="20000"/>
              </w14:srgbClr>
            </w14:solidFill>
          </w14:textFill>
        </w:rPr>
        <w:t>P</w:t>
      </w:r>
      <w:r w:rsidRPr="007B2847">
        <w:rPr>
          <w:rFonts w:ascii="Cambria" w:eastAsia="Calibri" w:hAnsi="Cambria" w:cs="Times New Roman"/>
          <w:b/>
          <w:iCs/>
          <w:color w:val="282626"/>
          <w14:textFill>
            <w14:solidFill>
              <w14:srgbClr w14:val="282626">
                <w14:alpha w14:val="20000"/>
              </w14:srgbClr>
            </w14:solidFill>
          </w14:textFill>
        </w:rPr>
        <w:t xml:space="preserve">artners </w:t>
      </w:r>
      <w:r>
        <w:rPr>
          <w:rFonts w:ascii="Cambria" w:eastAsia="Calibri" w:hAnsi="Cambria" w:cs="Times New Roman"/>
          <w:b/>
          <w:iCs/>
          <w:color w:val="282626"/>
          <w14:textFill>
            <w14:solidFill>
              <w14:srgbClr w14:val="282626">
                <w14:alpha w14:val="20000"/>
              </w14:srgbClr>
            </w14:solidFill>
          </w14:textFill>
        </w:rPr>
        <w:t>Service Coordination</w:t>
      </w:r>
    </w:p>
    <w:p w14:paraId="60871048" w14:textId="242B66AC" w:rsidR="00BD2859" w:rsidRDefault="00BD2859" w:rsidP="00F4256D">
      <w:pPr>
        <w:jc w:val="both"/>
        <w:rPr>
          <w:rFonts w:ascii="Calibri" w:eastAsia="Calibri" w:hAnsi="Calibri" w:cs="Calibri"/>
        </w:rPr>
      </w:pPr>
      <w:r>
        <w:rPr>
          <w:rFonts w:ascii="Calibri" w:eastAsia="Calibri" w:hAnsi="Calibri" w:cs="Calibri"/>
        </w:rPr>
        <w:t xml:space="preserve">The OWDB works with its core partners to align local resources as set forth in its Phase I Memorandum of Understanding (MOU). The Phase I MOU includes the partners who provide Basic Career Services and/or Individualized Career Services within the local workforce development system, listed in </w:t>
      </w:r>
      <w:r w:rsidR="00D6322D">
        <w:rPr>
          <w:rFonts w:ascii="Calibri" w:eastAsia="Calibri" w:hAnsi="Calibri" w:cs="Calibri"/>
        </w:rPr>
        <w:fldChar w:fldCharType="begin"/>
      </w:r>
      <w:r w:rsidR="00D6322D">
        <w:rPr>
          <w:rFonts w:ascii="Calibri" w:eastAsia="Calibri" w:hAnsi="Calibri" w:cs="Calibri"/>
        </w:rPr>
        <w:instrText xml:space="preserve"> REF _Ref66109615 \h </w:instrText>
      </w:r>
      <w:r w:rsidR="00F4256D">
        <w:rPr>
          <w:rFonts w:ascii="Calibri" w:eastAsia="Calibri" w:hAnsi="Calibri" w:cs="Calibri"/>
        </w:rPr>
        <w:instrText xml:space="preserve"> \* MERGEFORMAT </w:instrText>
      </w:r>
      <w:r w:rsidR="00D6322D">
        <w:rPr>
          <w:rFonts w:ascii="Calibri" w:eastAsia="Calibri" w:hAnsi="Calibri" w:cs="Calibri"/>
        </w:rPr>
      </w:r>
      <w:r w:rsidR="00D6322D">
        <w:rPr>
          <w:rFonts w:ascii="Calibri" w:eastAsia="Calibri" w:hAnsi="Calibri" w:cs="Calibri"/>
        </w:rPr>
        <w:fldChar w:fldCharType="separate"/>
      </w:r>
      <w:r w:rsidR="000F6D23" w:rsidRPr="009D395F">
        <w:t xml:space="preserve">Table </w:t>
      </w:r>
      <w:r w:rsidR="000F6D23">
        <w:rPr>
          <w:noProof/>
        </w:rPr>
        <w:t>1</w:t>
      </w:r>
      <w:r w:rsidR="00D6322D">
        <w:rPr>
          <w:rFonts w:ascii="Calibri" w:eastAsia="Calibri" w:hAnsi="Calibri" w:cs="Calibri"/>
        </w:rPr>
        <w:fldChar w:fldCharType="end"/>
      </w:r>
      <w:r w:rsidR="00D6322D">
        <w:rPr>
          <w:rFonts w:ascii="Calibri" w:eastAsia="Calibri" w:hAnsi="Calibri" w:cs="Calibri"/>
        </w:rPr>
        <w:t xml:space="preserve"> below. </w:t>
      </w:r>
    </w:p>
    <w:p w14:paraId="44A749B7" w14:textId="6C6F34B5" w:rsidR="00BD2859" w:rsidRDefault="00BD2859" w:rsidP="00BD2859">
      <w:pPr>
        <w:rPr>
          <w:rFonts w:ascii="Calibri" w:eastAsia="Calibri" w:hAnsi="Calibri" w:cs="Calibri"/>
        </w:rPr>
      </w:pPr>
    </w:p>
    <w:p w14:paraId="500C5107" w14:textId="622D3C1A" w:rsidR="00D6322D" w:rsidRPr="009D395F" w:rsidRDefault="00D6322D" w:rsidP="00D6322D">
      <w:pPr>
        <w:pStyle w:val="Caption"/>
        <w:rPr>
          <w:sz w:val="24"/>
        </w:rPr>
      </w:pPr>
      <w:bookmarkStart w:id="0" w:name="_Ref66109615"/>
      <w:r w:rsidRPr="009D395F">
        <w:rPr>
          <w:sz w:val="24"/>
        </w:rPr>
        <w:t xml:space="preserve">Table </w:t>
      </w:r>
      <w:r w:rsidRPr="009D395F">
        <w:rPr>
          <w:sz w:val="24"/>
        </w:rPr>
        <w:fldChar w:fldCharType="begin"/>
      </w:r>
      <w:r w:rsidRPr="009D395F">
        <w:rPr>
          <w:sz w:val="24"/>
        </w:rPr>
        <w:instrText xml:space="preserve"> SEQ Table \* ARABIC </w:instrText>
      </w:r>
      <w:r w:rsidRPr="009D395F">
        <w:rPr>
          <w:sz w:val="24"/>
        </w:rPr>
        <w:fldChar w:fldCharType="separate"/>
      </w:r>
      <w:r w:rsidR="000F6D23">
        <w:rPr>
          <w:noProof/>
          <w:sz w:val="24"/>
        </w:rPr>
        <w:t>1</w:t>
      </w:r>
      <w:r w:rsidRPr="009D395F">
        <w:rPr>
          <w:sz w:val="24"/>
        </w:rPr>
        <w:fldChar w:fldCharType="end"/>
      </w:r>
      <w:bookmarkEnd w:id="0"/>
      <w:r w:rsidRPr="009D395F">
        <w:rPr>
          <w:sz w:val="24"/>
        </w:rPr>
        <w:t>. OWDB MOU</w:t>
      </w:r>
      <w:r w:rsidR="00126226" w:rsidRPr="009D395F">
        <w:rPr>
          <w:sz w:val="24"/>
        </w:rPr>
        <w:t xml:space="preserve"> Core</w:t>
      </w:r>
      <w:r w:rsidRPr="009D395F">
        <w:rPr>
          <w:sz w:val="24"/>
        </w:rPr>
        <w:t xml:space="preserve"> Partners</w:t>
      </w:r>
    </w:p>
    <w:tbl>
      <w:tblPr>
        <w:tblStyle w:val="GridTable4-Accent51"/>
        <w:tblW w:w="0" w:type="auto"/>
        <w:tblLook w:val="04A0" w:firstRow="1" w:lastRow="0" w:firstColumn="1" w:lastColumn="0" w:noHBand="0" w:noVBand="1"/>
      </w:tblPr>
      <w:tblGrid>
        <w:gridCol w:w="4675"/>
        <w:gridCol w:w="4675"/>
      </w:tblGrid>
      <w:tr w:rsidR="00BD2859" w:rsidRPr="00BD2859" w14:paraId="5EFC186D" w14:textId="77777777" w:rsidTr="00D63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0C119D" w14:textId="77777777" w:rsidR="00BD2859" w:rsidRPr="00D6322D" w:rsidRDefault="00BD2859" w:rsidP="00BD2859">
            <w:pPr>
              <w:jc w:val="center"/>
              <w:rPr>
                <w:rFonts w:ascii="Calibri" w:eastAsia="Calibri" w:hAnsi="Calibri" w:cs="Calibri"/>
                <w:sz w:val="24"/>
                <w:szCs w:val="24"/>
                <w:lang w:val="en"/>
              </w:rPr>
            </w:pPr>
            <w:r w:rsidRPr="00D6322D">
              <w:rPr>
                <w:rFonts w:ascii="Calibri" w:eastAsia="Calibri" w:hAnsi="Calibri" w:cs="Calibri"/>
                <w:sz w:val="24"/>
                <w:szCs w:val="24"/>
                <w:lang w:val="en"/>
              </w:rPr>
              <w:t>OWDB Core Partner</w:t>
            </w:r>
          </w:p>
        </w:tc>
        <w:tc>
          <w:tcPr>
            <w:tcW w:w="4675" w:type="dxa"/>
          </w:tcPr>
          <w:p w14:paraId="4A0C8FF9" w14:textId="77777777" w:rsidR="00BD2859" w:rsidRPr="00D6322D" w:rsidRDefault="00BD2859" w:rsidP="00BD285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D6322D">
              <w:rPr>
                <w:rFonts w:ascii="Calibri" w:eastAsia="Calibri" w:hAnsi="Calibri" w:cs="Calibri"/>
                <w:sz w:val="24"/>
                <w:szCs w:val="24"/>
                <w:lang w:val="en"/>
              </w:rPr>
              <w:t>Services &amp; Resources</w:t>
            </w:r>
          </w:p>
        </w:tc>
      </w:tr>
      <w:tr w:rsidR="00BD2859" w:rsidRPr="00BD2859" w14:paraId="5276DAA0" w14:textId="77777777" w:rsidTr="00D63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41E6B1"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AJCC contracted service providers:</w:t>
            </w:r>
          </w:p>
          <w:p w14:paraId="633BC6A7" w14:textId="77777777" w:rsidR="00C92439" w:rsidRPr="00D6322D" w:rsidRDefault="00C92439" w:rsidP="00BD2859">
            <w:pPr>
              <w:numPr>
                <w:ilvl w:val="0"/>
                <w:numId w:val="13"/>
              </w:numPr>
              <w:rPr>
                <w:rFonts w:ascii="Calibri" w:eastAsia="Calibri" w:hAnsi="Calibri" w:cs="Calibri"/>
                <w:b w:val="0"/>
                <w:sz w:val="24"/>
                <w:szCs w:val="24"/>
                <w:lang w:val="en"/>
              </w:rPr>
            </w:pPr>
            <w:r w:rsidRPr="00D6322D">
              <w:rPr>
                <w:rFonts w:ascii="Calibri" w:eastAsia="Calibri" w:hAnsi="Calibri" w:cs="Calibri"/>
                <w:b w:val="0"/>
                <w:sz w:val="24"/>
                <w:szCs w:val="24"/>
                <w:lang w:val="en"/>
              </w:rPr>
              <w:t>Oakland Private Industry Council</w:t>
            </w:r>
          </w:p>
          <w:p w14:paraId="0740D0E9" w14:textId="6CA78AFE" w:rsidR="00C92439" w:rsidRPr="00D6322D" w:rsidRDefault="00236DD5" w:rsidP="00BD2859">
            <w:pPr>
              <w:numPr>
                <w:ilvl w:val="0"/>
                <w:numId w:val="13"/>
              </w:numPr>
              <w:rPr>
                <w:rFonts w:ascii="Calibri" w:eastAsia="Calibri" w:hAnsi="Calibri" w:cs="Calibri"/>
                <w:b w:val="0"/>
                <w:sz w:val="24"/>
                <w:szCs w:val="24"/>
                <w:lang w:val="en"/>
              </w:rPr>
            </w:pPr>
            <w:r>
              <w:rPr>
                <w:rFonts w:ascii="Calibri" w:eastAsia="Calibri" w:hAnsi="Calibri" w:cs="Calibri"/>
                <w:b w:val="0"/>
                <w:sz w:val="24"/>
                <w:szCs w:val="24"/>
                <w:lang w:val="en"/>
              </w:rPr>
              <w:t>Lao Family Community Development</w:t>
            </w:r>
          </w:p>
          <w:p w14:paraId="5C9B1EC2" w14:textId="0C5FBE36" w:rsidR="00C92439" w:rsidRPr="00D6322D" w:rsidRDefault="00236DD5" w:rsidP="00BD2859">
            <w:pPr>
              <w:numPr>
                <w:ilvl w:val="0"/>
                <w:numId w:val="13"/>
              </w:numPr>
              <w:rPr>
                <w:rFonts w:ascii="Calibri" w:eastAsia="Calibri" w:hAnsi="Calibri" w:cs="Calibri"/>
                <w:b w:val="0"/>
                <w:sz w:val="24"/>
                <w:szCs w:val="24"/>
                <w:lang w:val="en"/>
              </w:rPr>
            </w:pPr>
            <w:r>
              <w:rPr>
                <w:rFonts w:ascii="Calibri" w:eastAsia="Calibri" w:hAnsi="Calibri" w:cs="Calibri"/>
                <w:b w:val="0"/>
                <w:sz w:val="24"/>
                <w:szCs w:val="24"/>
                <w:lang w:val="en"/>
              </w:rPr>
              <w:t xml:space="preserve">The </w:t>
            </w:r>
            <w:r w:rsidR="00C92439" w:rsidRPr="00D6322D">
              <w:rPr>
                <w:rFonts w:ascii="Calibri" w:eastAsia="Calibri" w:hAnsi="Calibri" w:cs="Calibri"/>
                <w:b w:val="0"/>
                <w:sz w:val="24"/>
                <w:szCs w:val="24"/>
                <w:lang w:val="en"/>
              </w:rPr>
              <w:t xml:space="preserve">Unity Council </w:t>
            </w:r>
          </w:p>
        </w:tc>
        <w:tc>
          <w:tcPr>
            <w:tcW w:w="4675" w:type="dxa"/>
          </w:tcPr>
          <w:p w14:paraId="45F7E772" w14:textId="77777777" w:rsidR="00BD2859" w:rsidRPr="00BD2859" w:rsidRDefault="00BD2859" w:rsidP="00BD28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WIOA Title I Adult and Dislocated Worker services</w:t>
            </w:r>
          </w:p>
        </w:tc>
      </w:tr>
      <w:tr w:rsidR="00BD2859" w:rsidRPr="00BD2859" w14:paraId="4D12D7E2" w14:textId="77777777" w:rsidTr="00D6322D">
        <w:tc>
          <w:tcPr>
            <w:cnfStyle w:val="001000000000" w:firstRow="0" w:lastRow="0" w:firstColumn="1" w:lastColumn="0" w:oddVBand="0" w:evenVBand="0" w:oddHBand="0" w:evenHBand="0" w:firstRowFirstColumn="0" w:firstRowLastColumn="0" w:lastRowFirstColumn="0" w:lastRowLastColumn="0"/>
            <w:tcW w:w="4675" w:type="dxa"/>
          </w:tcPr>
          <w:p w14:paraId="34AE20A4"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 xml:space="preserve">California Department of Rehabilitation (DOR) </w:t>
            </w:r>
          </w:p>
        </w:tc>
        <w:tc>
          <w:tcPr>
            <w:tcW w:w="4675" w:type="dxa"/>
          </w:tcPr>
          <w:p w14:paraId="1726F85D" w14:textId="77777777" w:rsidR="00BD2859" w:rsidRPr="00BD2859" w:rsidRDefault="00BD2859" w:rsidP="00BD28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Vocational Rehabilitation job placement services</w:t>
            </w:r>
          </w:p>
        </w:tc>
      </w:tr>
      <w:tr w:rsidR="00BD2859" w:rsidRPr="00BD2859" w14:paraId="61EFE95D" w14:textId="77777777" w:rsidTr="00D63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F0D99B"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lastRenderedPageBreak/>
              <w:t>California Employment Development Department (EDD)</w:t>
            </w:r>
          </w:p>
        </w:tc>
        <w:tc>
          <w:tcPr>
            <w:tcW w:w="4675" w:type="dxa"/>
          </w:tcPr>
          <w:p w14:paraId="40D90DB7" w14:textId="77777777" w:rsidR="00BD2859" w:rsidRPr="00BD2859" w:rsidRDefault="00BD2859" w:rsidP="00BD28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Wagner-Peyser, Trade Adjustment Assistance (TAA), and Unemployment Insurance (UI)</w:t>
            </w:r>
          </w:p>
        </w:tc>
      </w:tr>
      <w:tr w:rsidR="00BD2859" w:rsidRPr="00BD2859" w14:paraId="41937CCB" w14:textId="77777777" w:rsidTr="00D6322D">
        <w:tc>
          <w:tcPr>
            <w:cnfStyle w:val="001000000000" w:firstRow="0" w:lastRow="0" w:firstColumn="1" w:lastColumn="0" w:oddVBand="0" w:evenVBand="0" w:oddHBand="0" w:evenHBand="0" w:firstRowFirstColumn="0" w:firstRowLastColumn="0" w:lastRowFirstColumn="0" w:lastRowLastColumn="0"/>
            <w:tcW w:w="4675" w:type="dxa"/>
          </w:tcPr>
          <w:p w14:paraId="7EB369B4" w14:textId="77777777" w:rsidR="004C60BC" w:rsidRDefault="00BD2859" w:rsidP="00BD2859">
            <w:pPr>
              <w:rPr>
                <w:rFonts w:ascii="Calibri" w:eastAsia="Calibri" w:hAnsi="Calibri" w:cs="Calibri"/>
                <w:bCs w:val="0"/>
                <w:sz w:val="24"/>
                <w:szCs w:val="24"/>
                <w:lang w:val="en"/>
              </w:rPr>
            </w:pPr>
            <w:r w:rsidRPr="00D6322D">
              <w:rPr>
                <w:rFonts w:ascii="Calibri" w:eastAsia="Calibri" w:hAnsi="Calibri" w:cs="Calibri"/>
                <w:b w:val="0"/>
                <w:sz w:val="24"/>
                <w:szCs w:val="24"/>
                <w:lang w:val="en"/>
              </w:rPr>
              <w:t>Oakland Unified School District (OUSD)</w:t>
            </w:r>
            <w:r w:rsidR="004C60BC">
              <w:rPr>
                <w:rFonts w:ascii="Calibri" w:eastAsia="Calibri" w:hAnsi="Calibri" w:cs="Calibri"/>
                <w:b w:val="0"/>
                <w:sz w:val="24"/>
                <w:szCs w:val="24"/>
                <w:lang w:val="en"/>
              </w:rPr>
              <w:t xml:space="preserve"> </w:t>
            </w:r>
          </w:p>
          <w:p w14:paraId="2D328847" w14:textId="77777777" w:rsidR="004C60BC" w:rsidRDefault="004C60BC" w:rsidP="00BD2859">
            <w:pPr>
              <w:rPr>
                <w:rFonts w:ascii="Calibri" w:eastAsia="Calibri" w:hAnsi="Calibri" w:cs="Calibri"/>
                <w:bCs w:val="0"/>
                <w:sz w:val="24"/>
                <w:szCs w:val="24"/>
                <w:lang w:val="en"/>
              </w:rPr>
            </w:pPr>
          </w:p>
          <w:p w14:paraId="4BD8845A" w14:textId="43EB1933" w:rsidR="00BD2859" w:rsidRPr="00D6322D" w:rsidRDefault="004C60BC" w:rsidP="00BD2859">
            <w:pPr>
              <w:rPr>
                <w:rFonts w:ascii="Calibri" w:eastAsia="Calibri" w:hAnsi="Calibri" w:cs="Calibri"/>
                <w:b w:val="0"/>
                <w:sz w:val="24"/>
                <w:szCs w:val="24"/>
                <w:lang w:val="en"/>
              </w:rPr>
            </w:pPr>
            <w:r>
              <w:rPr>
                <w:rFonts w:ascii="Calibri" w:eastAsia="Calibri" w:hAnsi="Calibri" w:cs="Calibri"/>
                <w:b w:val="0"/>
                <w:sz w:val="24"/>
                <w:szCs w:val="24"/>
                <w:lang w:val="en"/>
              </w:rPr>
              <w:t>Peralta Community College District</w:t>
            </w:r>
          </w:p>
        </w:tc>
        <w:tc>
          <w:tcPr>
            <w:tcW w:w="4675" w:type="dxa"/>
          </w:tcPr>
          <w:p w14:paraId="6BB6BC64" w14:textId="77777777" w:rsidR="004C60BC" w:rsidRDefault="00BD2859" w:rsidP="00BD28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Adult Education and Family Literacy Act (AEFLA) services</w:t>
            </w:r>
          </w:p>
          <w:p w14:paraId="4C5A5C4B" w14:textId="02860D3E" w:rsidR="00BD2859" w:rsidRPr="00BD2859" w:rsidRDefault="00BD2859" w:rsidP="00BD28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Career Technical Education (CTE) programs</w:t>
            </w:r>
          </w:p>
        </w:tc>
      </w:tr>
      <w:tr w:rsidR="00BD2859" w:rsidRPr="00BD2859" w14:paraId="5A8FA9FF" w14:textId="77777777" w:rsidTr="00D63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273F87"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 xml:space="preserve">Alameda County Social Services Agency </w:t>
            </w:r>
          </w:p>
        </w:tc>
        <w:tc>
          <w:tcPr>
            <w:tcW w:w="4675" w:type="dxa"/>
          </w:tcPr>
          <w:p w14:paraId="46BCF855" w14:textId="77777777" w:rsidR="00BD2859" w:rsidRPr="00BD2859" w:rsidRDefault="00BD2859" w:rsidP="00BD28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proofErr w:type="spellStart"/>
            <w:r w:rsidRPr="00BD2859">
              <w:rPr>
                <w:rFonts w:ascii="Calibri" w:eastAsia="Calibri" w:hAnsi="Calibri" w:cs="Calibri"/>
                <w:sz w:val="24"/>
                <w:szCs w:val="24"/>
                <w:lang w:val="en"/>
              </w:rPr>
              <w:t>CalWORKS</w:t>
            </w:r>
            <w:proofErr w:type="spellEnd"/>
            <w:r w:rsidRPr="00BD2859">
              <w:rPr>
                <w:rFonts w:ascii="Calibri" w:eastAsia="Calibri" w:hAnsi="Calibri" w:cs="Calibri"/>
                <w:sz w:val="24"/>
                <w:szCs w:val="24"/>
                <w:lang w:val="en"/>
              </w:rPr>
              <w:t xml:space="preserve"> (TANF) services, </w:t>
            </w:r>
            <w:proofErr w:type="spellStart"/>
            <w:r w:rsidRPr="00BD2859">
              <w:rPr>
                <w:rFonts w:ascii="Calibri" w:eastAsia="Calibri" w:hAnsi="Calibri" w:cs="Calibri"/>
                <w:sz w:val="24"/>
                <w:szCs w:val="24"/>
                <w:lang w:val="en"/>
              </w:rPr>
              <w:t>CalFresh</w:t>
            </w:r>
            <w:proofErr w:type="spellEnd"/>
            <w:r w:rsidRPr="00BD2859">
              <w:rPr>
                <w:rFonts w:ascii="Calibri" w:eastAsia="Calibri" w:hAnsi="Calibri" w:cs="Calibri"/>
                <w:sz w:val="24"/>
                <w:szCs w:val="24"/>
                <w:lang w:val="en"/>
              </w:rPr>
              <w:t xml:space="preserve"> (SNAP) administration, Title V, and Adult and Aging Services</w:t>
            </w:r>
          </w:p>
        </w:tc>
      </w:tr>
      <w:tr w:rsidR="00BD2859" w:rsidRPr="00BD2859" w14:paraId="2D5BA86C" w14:textId="77777777" w:rsidTr="00D6322D">
        <w:tc>
          <w:tcPr>
            <w:cnfStyle w:val="001000000000" w:firstRow="0" w:lastRow="0" w:firstColumn="1" w:lastColumn="0" w:oddVBand="0" w:evenVBand="0" w:oddHBand="0" w:evenHBand="0" w:firstRowFirstColumn="0" w:firstRowLastColumn="0" w:lastRowFirstColumn="0" w:lastRowLastColumn="0"/>
            <w:tcW w:w="4675" w:type="dxa"/>
          </w:tcPr>
          <w:p w14:paraId="547982AA"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United Indian Nations</w:t>
            </w:r>
          </w:p>
        </w:tc>
        <w:tc>
          <w:tcPr>
            <w:tcW w:w="4675" w:type="dxa"/>
          </w:tcPr>
          <w:p w14:paraId="5496843B" w14:textId="77777777" w:rsidR="00BD2859" w:rsidRPr="00BD2859" w:rsidRDefault="00BD2859" w:rsidP="00BD28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Employment, education, and training for Native American populations</w:t>
            </w:r>
          </w:p>
        </w:tc>
      </w:tr>
      <w:tr w:rsidR="00BD2859" w:rsidRPr="00BD2859" w14:paraId="5D4D4E7B" w14:textId="77777777" w:rsidTr="00D63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58FAAC"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Oakland / Alameda County Community Action</w:t>
            </w:r>
          </w:p>
        </w:tc>
        <w:tc>
          <w:tcPr>
            <w:tcW w:w="4675" w:type="dxa"/>
          </w:tcPr>
          <w:p w14:paraId="60955E3E" w14:textId="77777777" w:rsidR="00BD2859" w:rsidRPr="00BD2859" w:rsidRDefault="00BD2859" w:rsidP="00BD28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Community Services Block Grant services</w:t>
            </w:r>
          </w:p>
        </w:tc>
      </w:tr>
      <w:tr w:rsidR="00BD2859" w:rsidRPr="00BD2859" w14:paraId="0407B4EC" w14:textId="77777777" w:rsidTr="00D6322D">
        <w:tc>
          <w:tcPr>
            <w:cnfStyle w:val="001000000000" w:firstRow="0" w:lastRow="0" w:firstColumn="1" w:lastColumn="0" w:oddVBand="0" w:evenVBand="0" w:oddHBand="0" w:evenHBand="0" w:firstRowFirstColumn="0" w:firstRowLastColumn="0" w:lastRowFirstColumn="0" w:lastRowLastColumn="0"/>
            <w:tcW w:w="4675" w:type="dxa"/>
          </w:tcPr>
          <w:p w14:paraId="79C8BC57"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 xml:space="preserve">Oakland Housing Authority </w:t>
            </w:r>
          </w:p>
          <w:p w14:paraId="24EE58E2" w14:textId="77777777" w:rsidR="00BD2859" w:rsidRPr="00D6322D" w:rsidRDefault="00BD2859" w:rsidP="00BD2859">
            <w:pPr>
              <w:rPr>
                <w:rFonts w:ascii="Calibri" w:eastAsia="Calibri" w:hAnsi="Calibri" w:cs="Calibri"/>
                <w:b w:val="0"/>
                <w:sz w:val="24"/>
                <w:szCs w:val="24"/>
                <w:lang w:val="en"/>
              </w:rPr>
            </w:pPr>
          </w:p>
        </w:tc>
        <w:tc>
          <w:tcPr>
            <w:tcW w:w="4675" w:type="dxa"/>
          </w:tcPr>
          <w:p w14:paraId="66D49291" w14:textId="77777777" w:rsidR="00BD2859" w:rsidRPr="00BD2859" w:rsidRDefault="00BD2859" w:rsidP="00BD28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Housing services</w:t>
            </w:r>
          </w:p>
        </w:tc>
      </w:tr>
      <w:tr w:rsidR="00BD2859" w:rsidRPr="00BD2859" w14:paraId="0F1820CF" w14:textId="77777777" w:rsidTr="00D63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6B478F5"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 xml:space="preserve">Peralta Community College District (PCCD) </w:t>
            </w:r>
          </w:p>
        </w:tc>
        <w:tc>
          <w:tcPr>
            <w:tcW w:w="4675" w:type="dxa"/>
          </w:tcPr>
          <w:p w14:paraId="449123D3" w14:textId="77777777" w:rsidR="00BD2859" w:rsidRPr="00BD2859" w:rsidRDefault="00BD2859" w:rsidP="00BD28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Carl D. Perkins and Career Technical Education (CTE) programs</w:t>
            </w:r>
          </w:p>
        </w:tc>
      </w:tr>
      <w:tr w:rsidR="00BD2859" w:rsidRPr="00BD2859" w14:paraId="0D2D3153" w14:textId="77777777" w:rsidTr="00D6322D">
        <w:tc>
          <w:tcPr>
            <w:cnfStyle w:val="001000000000" w:firstRow="0" w:lastRow="0" w:firstColumn="1" w:lastColumn="0" w:oddVBand="0" w:evenVBand="0" w:oddHBand="0" w:evenHBand="0" w:firstRowFirstColumn="0" w:firstRowLastColumn="0" w:lastRowFirstColumn="0" w:lastRowLastColumn="0"/>
            <w:tcW w:w="4675" w:type="dxa"/>
          </w:tcPr>
          <w:p w14:paraId="2BAF5FCB" w14:textId="49D615DA" w:rsidR="00BD2859" w:rsidRPr="00D6322D" w:rsidRDefault="004C60BC" w:rsidP="00BD2859">
            <w:pPr>
              <w:rPr>
                <w:rFonts w:ascii="Calibri" w:eastAsia="Calibri" w:hAnsi="Calibri" w:cs="Calibri"/>
                <w:b w:val="0"/>
                <w:sz w:val="24"/>
                <w:szCs w:val="24"/>
                <w:lang w:val="en"/>
              </w:rPr>
            </w:pPr>
            <w:r>
              <w:rPr>
                <w:rFonts w:ascii="Calibri" w:eastAsia="Calibri" w:hAnsi="Calibri" w:cs="Calibri"/>
                <w:b w:val="0"/>
                <w:sz w:val="24"/>
                <w:szCs w:val="24"/>
                <w:lang w:val="en"/>
              </w:rPr>
              <w:t xml:space="preserve">Vietnamese </w:t>
            </w:r>
            <w:r w:rsidRPr="004C60BC">
              <w:rPr>
                <w:rFonts w:cstheme="minorHAnsi"/>
                <w:b w:val="0"/>
                <w:bCs w:val="0"/>
                <w:color w:val="323130"/>
                <w:shd w:val="clear" w:color="auto" w:fill="FAF9F8"/>
              </w:rPr>
              <w:t>American Community Center of the East Bay</w:t>
            </w:r>
          </w:p>
        </w:tc>
        <w:tc>
          <w:tcPr>
            <w:tcW w:w="4675" w:type="dxa"/>
          </w:tcPr>
          <w:p w14:paraId="01FACA3D" w14:textId="64D91086" w:rsidR="00BD2859" w:rsidRPr="004C60BC" w:rsidRDefault="004C60BC" w:rsidP="00BD285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4"/>
                <w:szCs w:val="24"/>
                <w:lang w:val="en"/>
              </w:rPr>
            </w:pPr>
            <w:r w:rsidRPr="004C60BC">
              <w:rPr>
                <w:rFonts w:ascii="Calibri" w:eastAsia="Calibri" w:hAnsi="Calibri" w:cs="Calibri"/>
                <w:bCs/>
                <w:sz w:val="24"/>
                <w:szCs w:val="24"/>
                <w:lang w:val="en"/>
              </w:rPr>
              <w:t>Senior Community Service Employment Program (SCSEP)</w:t>
            </w:r>
          </w:p>
        </w:tc>
      </w:tr>
      <w:tr w:rsidR="00BD2859" w:rsidRPr="00BD2859" w14:paraId="27CB099A" w14:textId="77777777" w:rsidTr="00D63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C9E23F" w14:textId="77777777" w:rsidR="00BD2859" w:rsidRPr="00D6322D" w:rsidRDefault="00BD2859" w:rsidP="00BD2859">
            <w:pPr>
              <w:rPr>
                <w:rFonts w:ascii="Calibri" w:eastAsia="Calibri" w:hAnsi="Calibri" w:cs="Calibri"/>
                <w:b w:val="0"/>
                <w:sz w:val="24"/>
                <w:szCs w:val="24"/>
                <w:lang w:val="en"/>
              </w:rPr>
            </w:pPr>
            <w:r w:rsidRPr="00D6322D">
              <w:rPr>
                <w:rFonts w:ascii="Calibri" w:eastAsia="Calibri" w:hAnsi="Calibri" w:cs="Calibri"/>
                <w:b w:val="0"/>
                <w:sz w:val="24"/>
                <w:szCs w:val="24"/>
                <w:lang w:val="en"/>
              </w:rPr>
              <w:t xml:space="preserve">Treasure Island Job Corps </w:t>
            </w:r>
          </w:p>
        </w:tc>
        <w:tc>
          <w:tcPr>
            <w:tcW w:w="4675" w:type="dxa"/>
          </w:tcPr>
          <w:p w14:paraId="70F951FB" w14:textId="77777777" w:rsidR="00BD2859" w:rsidRPr="00BD2859" w:rsidRDefault="00BD2859" w:rsidP="00BD2859">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BD2859">
              <w:rPr>
                <w:rFonts w:ascii="Calibri" w:eastAsia="Calibri" w:hAnsi="Calibri" w:cs="Calibri"/>
                <w:sz w:val="24"/>
                <w:szCs w:val="24"/>
                <w:lang w:val="en"/>
              </w:rPr>
              <w:t>Job Corps programs</w:t>
            </w:r>
          </w:p>
        </w:tc>
      </w:tr>
    </w:tbl>
    <w:p w14:paraId="0145F919" w14:textId="77777777" w:rsidR="00BD2859" w:rsidRPr="00BD2859" w:rsidRDefault="00BD2859" w:rsidP="00BD2859">
      <w:pPr>
        <w:rPr>
          <w:rFonts w:ascii="Calibri" w:eastAsia="Calibri" w:hAnsi="Calibri" w:cs="Calibri"/>
        </w:rPr>
      </w:pPr>
    </w:p>
    <w:p w14:paraId="6E258322" w14:textId="25EDAE56" w:rsidR="00126226" w:rsidRPr="0001368A" w:rsidRDefault="00D6322D" w:rsidP="00F4256D">
      <w:pPr>
        <w:jc w:val="both"/>
        <w:rPr>
          <w:rFonts w:eastAsia="Calibri" w:cstheme="minorHAnsi"/>
        </w:rPr>
      </w:pPr>
      <w:r w:rsidRPr="0001368A">
        <w:rPr>
          <w:rFonts w:ascii="Calibri" w:eastAsia="Calibri" w:hAnsi="Calibri" w:cs="Calibri"/>
        </w:rPr>
        <w:t xml:space="preserve">In addition to the core partners listed above, the OWDB is currently working on effectively connecting and leveraging other resources to maximize value to the City of Oakland’s job seekers, particularly priority populations. These groups include individuals with disabilities, justice-involved individuals, single parents, </w:t>
      </w:r>
      <w:r w:rsidR="00C25926">
        <w:rPr>
          <w:rFonts w:ascii="Calibri" w:eastAsia="Calibri" w:hAnsi="Calibri" w:cs="Calibri"/>
        </w:rPr>
        <w:t>English Language Learners (ELL)</w:t>
      </w:r>
      <w:r w:rsidRPr="0001368A">
        <w:rPr>
          <w:rFonts w:ascii="Calibri" w:eastAsia="Calibri" w:hAnsi="Calibri" w:cs="Calibri"/>
        </w:rPr>
        <w:t xml:space="preserve"> </w:t>
      </w:r>
      <w:proofErr w:type="spellStart"/>
      <w:r w:rsidRPr="0001368A">
        <w:rPr>
          <w:rFonts w:ascii="Calibri" w:eastAsia="Calibri" w:hAnsi="Calibri" w:cs="Calibri"/>
        </w:rPr>
        <w:t>i</w:t>
      </w:r>
      <w:proofErr w:type="spellEnd"/>
      <w:r w:rsidRPr="0001368A">
        <w:rPr>
          <w:rFonts w:ascii="Calibri" w:eastAsia="Calibri" w:hAnsi="Calibri" w:cs="Calibri"/>
        </w:rPr>
        <w:t xml:space="preserve">, older individuals, </w:t>
      </w:r>
      <w:r w:rsidR="00C25926">
        <w:rPr>
          <w:rFonts w:ascii="Calibri" w:eastAsia="Calibri" w:hAnsi="Calibri" w:cs="Calibri"/>
        </w:rPr>
        <w:t>unhoused</w:t>
      </w:r>
      <w:r w:rsidRPr="0001368A">
        <w:rPr>
          <w:rFonts w:ascii="Calibri" w:eastAsia="Calibri" w:hAnsi="Calibri" w:cs="Calibri"/>
        </w:rPr>
        <w:t xml:space="preserve"> and other low-income individuals, long-term unemployed individuals, and former foster youth. To this end, the OWDB </w:t>
      </w:r>
      <w:r w:rsidR="004C60BC" w:rsidRPr="0001368A">
        <w:rPr>
          <w:rFonts w:ascii="Calibri" w:eastAsia="Calibri" w:hAnsi="Calibri" w:cs="Calibri"/>
        </w:rPr>
        <w:t>is committed to making</w:t>
      </w:r>
      <w:r w:rsidRPr="0001368A">
        <w:rPr>
          <w:rFonts w:ascii="Calibri" w:eastAsia="Calibri" w:hAnsi="Calibri" w:cs="Calibri"/>
        </w:rPr>
        <w:t xml:space="preserve"> investments designed to meet the needs of these populations, as well as collaborate with other public and nonprofit service provider partners. Additionally, and in alignment with the goals and strategies outlined in this plan, the OWDB envisions working on additional efforts to use technology and other tools to expand services to the </w:t>
      </w:r>
      <w:r w:rsidR="00C25926" w:rsidRPr="0001368A">
        <w:rPr>
          <w:rFonts w:ascii="Calibri" w:eastAsia="Calibri" w:hAnsi="Calibri" w:cs="Calibri"/>
        </w:rPr>
        <w:t>targeted</w:t>
      </w:r>
      <w:r w:rsidRPr="0001368A">
        <w:rPr>
          <w:rFonts w:ascii="Calibri" w:eastAsia="Calibri" w:hAnsi="Calibri" w:cs="Calibri"/>
        </w:rPr>
        <w:t xml:space="preserve"> populations, as well as deepen partnerships with employers and businesses that are supportive partners in this work. </w:t>
      </w:r>
      <w:r w:rsidR="000C4627">
        <w:rPr>
          <w:rFonts w:ascii="Calibri" w:eastAsia="Calibri" w:hAnsi="Calibri" w:cs="Calibri"/>
        </w:rPr>
        <w:t xml:space="preserve">The OWDB </w:t>
      </w:r>
      <w:r w:rsidR="00C25926">
        <w:rPr>
          <w:rFonts w:ascii="Calibri" w:eastAsia="Calibri" w:hAnsi="Calibri" w:cs="Calibri"/>
        </w:rPr>
        <w:t>lead</w:t>
      </w:r>
      <w:r w:rsidR="000C4627">
        <w:rPr>
          <w:rFonts w:ascii="Calibri" w:eastAsia="Calibri" w:hAnsi="Calibri" w:cs="Calibri"/>
        </w:rPr>
        <w:t xml:space="preserve"> and co</w:t>
      </w:r>
      <w:r w:rsidR="00C25926">
        <w:rPr>
          <w:rFonts w:ascii="Calibri" w:eastAsia="Calibri" w:hAnsi="Calibri" w:cs="Calibri"/>
        </w:rPr>
        <w:t>ordinated</w:t>
      </w:r>
      <w:r w:rsidR="000C4627">
        <w:rPr>
          <w:rFonts w:ascii="Calibri" w:eastAsia="Calibri" w:hAnsi="Calibri" w:cs="Calibri"/>
        </w:rPr>
        <w:t xml:space="preserve"> with workforce partners to host a series of industry specific virtual Job Fairs. Additionally, t</w:t>
      </w:r>
      <w:r w:rsidR="0001368A" w:rsidRPr="0001368A">
        <w:rPr>
          <w:rFonts w:ascii="Calibri" w:eastAsia="Calibri" w:hAnsi="Calibri" w:cs="Calibri"/>
        </w:rPr>
        <w:t>he OWDB is expanding administrative access of the online M</w:t>
      </w:r>
      <w:r w:rsidR="004C60BC" w:rsidRPr="0001368A">
        <w:rPr>
          <w:rFonts w:ascii="Calibri" w:eastAsia="Calibri" w:hAnsi="Calibri" w:cs="Calibri"/>
        </w:rPr>
        <w:t>etrix Learning system</w:t>
      </w:r>
      <w:r w:rsidR="0001368A" w:rsidRPr="0001368A">
        <w:rPr>
          <w:rFonts w:ascii="Calibri" w:eastAsia="Calibri" w:hAnsi="Calibri" w:cs="Calibri"/>
        </w:rPr>
        <w:t xml:space="preserve"> to its</w:t>
      </w:r>
      <w:r w:rsidR="004C60BC" w:rsidRPr="0001368A">
        <w:rPr>
          <w:rFonts w:ascii="Calibri" w:eastAsia="Calibri" w:hAnsi="Calibri" w:cs="Calibri"/>
        </w:rPr>
        <w:t xml:space="preserve"> partner network. </w:t>
      </w:r>
      <w:r w:rsidR="0001368A" w:rsidRPr="0001368A">
        <w:rPr>
          <w:rFonts w:cstheme="minorHAnsi"/>
          <w:color w:val="202124"/>
          <w:shd w:val="clear" w:color="auto" w:fill="FFFFFF"/>
        </w:rPr>
        <w:t xml:space="preserve">Metrix Learning is designed to help people upgrade existing or learn new skills. </w:t>
      </w:r>
    </w:p>
    <w:p w14:paraId="0AC28CB1" w14:textId="649C158D" w:rsidR="00EE6F62" w:rsidRDefault="00EE6F62" w:rsidP="00F4256D">
      <w:pPr>
        <w:jc w:val="both"/>
        <w:rPr>
          <w:rFonts w:ascii="Calibri" w:eastAsia="Calibri" w:hAnsi="Calibri" w:cs="Calibri"/>
        </w:rPr>
      </w:pPr>
    </w:p>
    <w:p w14:paraId="52F3A55A" w14:textId="14E6538C" w:rsidR="00EE6F62" w:rsidRDefault="00602722" w:rsidP="00F4256D">
      <w:pPr>
        <w:jc w:val="both"/>
        <w:rPr>
          <w:rFonts w:ascii="Calibri" w:eastAsia="Calibri" w:hAnsi="Calibri" w:cs="Calibri"/>
        </w:rPr>
      </w:pPr>
      <w:r>
        <w:rPr>
          <w:rFonts w:ascii="Calibri" w:eastAsia="Calibri" w:hAnsi="Calibri" w:cs="Calibri"/>
        </w:rPr>
        <w:t>Across its collaborations with WIOA core and required partners, t</w:t>
      </w:r>
      <w:r w:rsidR="00EE6F62">
        <w:rPr>
          <w:rFonts w:ascii="Calibri" w:eastAsia="Calibri" w:hAnsi="Calibri" w:cs="Calibri"/>
        </w:rPr>
        <w:t xml:space="preserve">he OWDB </w:t>
      </w:r>
      <w:r w:rsidR="0096542D">
        <w:rPr>
          <w:rFonts w:ascii="Calibri" w:eastAsia="Calibri" w:hAnsi="Calibri" w:cs="Calibri"/>
        </w:rPr>
        <w:t xml:space="preserve">is continuing with several </w:t>
      </w:r>
      <w:r w:rsidR="00FE3A6A">
        <w:rPr>
          <w:rFonts w:ascii="Calibri" w:eastAsia="Calibri" w:hAnsi="Calibri" w:cs="Calibri"/>
        </w:rPr>
        <w:t xml:space="preserve">2017-2020 Local plan modification </w:t>
      </w:r>
      <w:r w:rsidR="0096542D">
        <w:rPr>
          <w:rFonts w:ascii="Calibri" w:eastAsia="Calibri" w:hAnsi="Calibri" w:cs="Calibri"/>
        </w:rPr>
        <w:t xml:space="preserve">strategies </w:t>
      </w:r>
      <w:r w:rsidR="00FE3A6A">
        <w:rPr>
          <w:rFonts w:ascii="Calibri" w:eastAsia="Calibri" w:hAnsi="Calibri" w:cs="Calibri"/>
        </w:rPr>
        <w:t xml:space="preserve">that were halted </w:t>
      </w:r>
      <w:r w:rsidR="0001368A">
        <w:rPr>
          <w:rFonts w:ascii="Calibri" w:eastAsia="Calibri" w:hAnsi="Calibri" w:cs="Calibri"/>
        </w:rPr>
        <w:t>because of</w:t>
      </w:r>
      <w:r w:rsidR="0096542D">
        <w:rPr>
          <w:rFonts w:ascii="Calibri" w:eastAsia="Calibri" w:hAnsi="Calibri" w:cs="Calibri"/>
        </w:rPr>
        <w:t xml:space="preserve"> the COVID-19 pandemic. </w:t>
      </w:r>
      <w:r w:rsidR="006E7B31">
        <w:rPr>
          <w:rFonts w:ascii="Calibri" w:eastAsia="Calibri" w:hAnsi="Calibri" w:cs="Calibri"/>
        </w:rPr>
        <w:fldChar w:fldCharType="begin"/>
      </w:r>
      <w:r w:rsidR="006E7B31">
        <w:rPr>
          <w:rFonts w:ascii="Calibri" w:eastAsia="Calibri" w:hAnsi="Calibri" w:cs="Calibri"/>
        </w:rPr>
        <w:instrText xml:space="preserve"> REF _Ref66122470 \h </w:instrText>
      </w:r>
      <w:r w:rsidR="006E7B31">
        <w:rPr>
          <w:rFonts w:ascii="Calibri" w:eastAsia="Calibri" w:hAnsi="Calibri" w:cs="Calibri"/>
        </w:rPr>
      </w:r>
      <w:r w:rsidR="006E7B31">
        <w:rPr>
          <w:rFonts w:ascii="Calibri" w:eastAsia="Calibri" w:hAnsi="Calibri" w:cs="Calibri"/>
        </w:rPr>
        <w:fldChar w:fldCharType="separate"/>
      </w:r>
      <w:r w:rsidR="000F6D23" w:rsidRPr="00314125">
        <w:t xml:space="preserve">Table </w:t>
      </w:r>
      <w:r w:rsidR="000F6D23">
        <w:rPr>
          <w:noProof/>
        </w:rPr>
        <w:t>2</w:t>
      </w:r>
      <w:r w:rsidR="006E7B31">
        <w:rPr>
          <w:rFonts w:ascii="Calibri" w:eastAsia="Calibri" w:hAnsi="Calibri" w:cs="Calibri"/>
        </w:rPr>
        <w:fldChar w:fldCharType="end"/>
      </w:r>
      <w:r w:rsidR="006E7B31">
        <w:rPr>
          <w:rFonts w:ascii="Calibri" w:eastAsia="Calibri" w:hAnsi="Calibri" w:cs="Calibri"/>
        </w:rPr>
        <w:t xml:space="preserve"> </w:t>
      </w:r>
      <w:r w:rsidR="00314125">
        <w:rPr>
          <w:rFonts w:ascii="Calibri" w:eastAsia="Calibri" w:hAnsi="Calibri" w:cs="Calibri"/>
        </w:rPr>
        <w:t>below describes these</w:t>
      </w:r>
      <w:r w:rsidR="005A412C">
        <w:rPr>
          <w:rFonts w:ascii="Calibri" w:eastAsia="Calibri" w:hAnsi="Calibri" w:cs="Calibri"/>
        </w:rPr>
        <w:t xml:space="preserve"> </w:t>
      </w:r>
      <w:r w:rsidR="00314125" w:rsidRPr="007D1DD5">
        <w:rPr>
          <w:rFonts w:ascii="Calibri" w:eastAsia="Calibri" w:hAnsi="Calibri" w:cs="Calibri"/>
          <w:b/>
        </w:rPr>
        <w:t>ongoing strategies</w:t>
      </w:r>
      <w:r w:rsidR="00314125">
        <w:rPr>
          <w:rFonts w:ascii="Calibri" w:eastAsia="Calibri" w:hAnsi="Calibri" w:cs="Calibri"/>
        </w:rPr>
        <w:t>, cross</w:t>
      </w:r>
      <w:r w:rsidR="001E353E">
        <w:rPr>
          <w:rFonts w:ascii="Calibri" w:eastAsia="Calibri" w:hAnsi="Calibri" w:cs="Calibri"/>
        </w:rPr>
        <w:t>-</w:t>
      </w:r>
      <w:r w:rsidR="00314125">
        <w:rPr>
          <w:rFonts w:ascii="Calibri" w:eastAsia="Calibri" w:hAnsi="Calibri" w:cs="Calibri"/>
        </w:rPr>
        <w:t xml:space="preserve">walked with </w:t>
      </w:r>
      <w:r w:rsidR="00E809EE">
        <w:rPr>
          <w:rFonts w:ascii="Calibri" w:eastAsia="Calibri" w:hAnsi="Calibri" w:cs="Calibri"/>
        </w:rPr>
        <w:t>OWDB WIOA core partners and additional stakeholder agencies</w:t>
      </w:r>
      <w:r w:rsidR="00314125">
        <w:rPr>
          <w:rFonts w:ascii="Calibri" w:eastAsia="Calibri" w:hAnsi="Calibri" w:cs="Calibri"/>
        </w:rPr>
        <w:t xml:space="preserve">.  </w:t>
      </w:r>
    </w:p>
    <w:p w14:paraId="2B1F227A" w14:textId="77777777" w:rsidR="00314125" w:rsidRDefault="00314125" w:rsidP="00D6322D">
      <w:pPr>
        <w:rPr>
          <w:rFonts w:ascii="Calibri" w:eastAsia="Calibri" w:hAnsi="Calibri" w:cs="Calibri"/>
        </w:rPr>
      </w:pPr>
    </w:p>
    <w:p w14:paraId="6B72B3AC" w14:textId="77777777" w:rsidR="002D62B1" w:rsidRDefault="002D62B1" w:rsidP="00314125">
      <w:pPr>
        <w:pStyle w:val="Caption"/>
        <w:rPr>
          <w:sz w:val="24"/>
        </w:rPr>
      </w:pPr>
      <w:bookmarkStart w:id="1" w:name="_Ref66122470"/>
    </w:p>
    <w:p w14:paraId="6A712B83" w14:textId="00310B98" w:rsidR="002D62B1" w:rsidRDefault="002D62B1" w:rsidP="00314125">
      <w:pPr>
        <w:pStyle w:val="Caption"/>
        <w:rPr>
          <w:sz w:val="24"/>
        </w:rPr>
      </w:pPr>
    </w:p>
    <w:p w14:paraId="74967E69" w14:textId="77777777" w:rsidR="00E318AA" w:rsidRPr="00E318AA" w:rsidRDefault="00E318AA" w:rsidP="00E318AA"/>
    <w:p w14:paraId="7F244457" w14:textId="77777777" w:rsidR="002D62B1" w:rsidRDefault="002D62B1" w:rsidP="00314125">
      <w:pPr>
        <w:pStyle w:val="Caption"/>
        <w:rPr>
          <w:sz w:val="24"/>
        </w:rPr>
      </w:pPr>
    </w:p>
    <w:p w14:paraId="4C8D2D80" w14:textId="232CA75D" w:rsidR="00314125" w:rsidRPr="00314125" w:rsidRDefault="00314125" w:rsidP="00314125">
      <w:pPr>
        <w:pStyle w:val="Caption"/>
        <w:rPr>
          <w:sz w:val="24"/>
        </w:rPr>
      </w:pPr>
      <w:r w:rsidRPr="00314125">
        <w:rPr>
          <w:sz w:val="24"/>
        </w:rPr>
        <w:t xml:space="preserve">Table </w:t>
      </w:r>
      <w:r w:rsidRPr="00314125">
        <w:rPr>
          <w:sz w:val="24"/>
        </w:rPr>
        <w:fldChar w:fldCharType="begin"/>
      </w:r>
      <w:r w:rsidRPr="00314125">
        <w:rPr>
          <w:sz w:val="24"/>
        </w:rPr>
        <w:instrText xml:space="preserve"> SEQ Table \* ARABIC </w:instrText>
      </w:r>
      <w:r w:rsidRPr="00314125">
        <w:rPr>
          <w:sz w:val="24"/>
        </w:rPr>
        <w:fldChar w:fldCharType="separate"/>
      </w:r>
      <w:r w:rsidR="000F6D23">
        <w:rPr>
          <w:noProof/>
          <w:sz w:val="24"/>
        </w:rPr>
        <w:t>2</w:t>
      </w:r>
      <w:r w:rsidRPr="00314125">
        <w:rPr>
          <w:sz w:val="24"/>
        </w:rPr>
        <w:fldChar w:fldCharType="end"/>
      </w:r>
      <w:bookmarkEnd w:id="1"/>
      <w:r w:rsidRPr="00314125">
        <w:rPr>
          <w:sz w:val="24"/>
        </w:rPr>
        <w:t xml:space="preserve">. </w:t>
      </w:r>
      <w:r>
        <w:rPr>
          <w:sz w:val="24"/>
        </w:rPr>
        <w:t>Ongoing Local Plan Strategies</w:t>
      </w:r>
    </w:p>
    <w:tbl>
      <w:tblPr>
        <w:tblStyle w:val="GridTable4-Accent51"/>
        <w:tblW w:w="0" w:type="auto"/>
        <w:tblLook w:val="04A0" w:firstRow="1" w:lastRow="0" w:firstColumn="1" w:lastColumn="0" w:noHBand="0" w:noVBand="1"/>
      </w:tblPr>
      <w:tblGrid>
        <w:gridCol w:w="2425"/>
        <w:gridCol w:w="6925"/>
      </w:tblGrid>
      <w:tr w:rsidR="00314125" w:rsidRPr="00BD2859" w14:paraId="4DF3F1F7" w14:textId="77777777" w:rsidTr="002D62B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25" w:type="dxa"/>
          </w:tcPr>
          <w:p w14:paraId="5AF90A8F" w14:textId="4E12FD20" w:rsidR="00314125" w:rsidRPr="00D6322D" w:rsidRDefault="00314125" w:rsidP="00C92439">
            <w:pPr>
              <w:jc w:val="center"/>
              <w:rPr>
                <w:rFonts w:ascii="Calibri" w:eastAsia="Calibri" w:hAnsi="Calibri" w:cs="Calibri"/>
                <w:sz w:val="24"/>
                <w:szCs w:val="24"/>
                <w:lang w:val="en"/>
              </w:rPr>
            </w:pPr>
            <w:r w:rsidRPr="00D6322D">
              <w:rPr>
                <w:rFonts w:ascii="Calibri" w:eastAsia="Calibri" w:hAnsi="Calibri" w:cs="Calibri"/>
                <w:sz w:val="24"/>
                <w:szCs w:val="24"/>
                <w:lang w:val="en"/>
              </w:rPr>
              <w:t>OWDB Partner</w:t>
            </w:r>
          </w:p>
        </w:tc>
        <w:tc>
          <w:tcPr>
            <w:tcW w:w="6925" w:type="dxa"/>
          </w:tcPr>
          <w:p w14:paraId="1F16EFA3" w14:textId="58F856C6" w:rsidR="00314125" w:rsidRPr="00D6322D" w:rsidRDefault="00077E6C" w:rsidP="00C9243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Pr>
                <w:rFonts w:ascii="Calibri" w:eastAsia="Calibri" w:hAnsi="Calibri" w:cs="Calibri"/>
                <w:sz w:val="24"/>
                <w:szCs w:val="24"/>
                <w:lang w:val="en"/>
              </w:rPr>
              <w:t>Ongoing Collaborative Strategies</w:t>
            </w:r>
          </w:p>
        </w:tc>
      </w:tr>
      <w:tr w:rsidR="00314125" w:rsidRPr="00BD2859" w14:paraId="1A2FD947" w14:textId="77777777" w:rsidTr="006F6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9B71FB8" w14:textId="1AAF0FC0" w:rsidR="00314125" w:rsidRPr="00D6322D" w:rsidRDefault="00314125" w:rsidP="00AE0B1B">
            <w:pPr>
              <w:rPr>
                <w:rFonts w:ascii="Calibri" w:eastAsia="Calibri" w:hAnsi="Calibri" w:cs="Calibri"/>
                <w:b w:val="0"/>
                <w:sz w:val="24"/>
                <w:szCs w:val="24"/>
                <w:lang w:val="en"/>
              </w:rPr>
            </w:pPr>
            <w:r w:rsidRPr="00D6322D">
              <w:rPr>
                <w:rFonts w:ascii="Calibri" w:eastAsia="Calibri" w:hAnsi="Calibri" w:cs="Calibri"/>
                <w:b w:val="0"/>
                <w:sz w:val="24"/>
                <w:szCs w:val="24"/>
                <w:lang w:val="en"/>
              </w:rPr>
              <w:t xml:space="preserve">AJCC </w:t>
            </w:r>
            <w:r w:rsidR="00C25926">
              <w:rPr>
                <w:rFonts w:ascii="Calibri" w:eastAsia="Calibri" w:hAnsi="Calibri" w:cs="Calibri"/>
                <w:b w:val="0"/>
                <w:sz w:val="24"/>
                <w:szCs w:val="24"/>
                <w:lang w:val="en"/>
              </w:rPr>
              <w:t>Workforce System Partners-CBO</w:t>
            </w:r>
            <w:r w:rsidR="007B6714">
              <w:rPr>
                <w:rFonts w:ascii="Calibri" w:eastAsia="Calibri" w:hAnsi="Calibri" w:cs="Calibri"/>
                <w:b w:val="0"/>
                <w:sz w:val="24"/>
                <w:szCs w:val="24"/>
                <w:lang w:val="en"/>
              </w:rPr>
              <w:t>s</w:t>
            </w:r>
            <w:r w:rsidR="00C25926">
              <w:rPr>
                <w:rFonts w:ascii="Calibri" w:eastAsia="Calibri" w:hAnsi="Calibri" w:cs="Calibri"/>
                <w:b w:val="0"/>
                <w:sz w:val="24"/>
                <w:szCs w:val="24"/>
                <w:lang w:val="en"/>
              </w:rPr>
              <w:t xml:space="preserve">, Training </w:t>
            </w:r>
            <w:r w:rsidR="002D62B1">
              <w:rPr>
                <w:rFonts w:ascii="Calibri" w:eastAsia="Calibri" w:hAnsi="Calibri" w:cs="Calibri"/>
                <w:b w:val="0"/>
                <w:sz w:val="24"/>
                <w:szCs w:val="24"/>
                <w:lang w:val="en"/>
              </w:rPr>
              <w:t>Providers, Businesses</w:t>
            </w:r>
            <w:r w:rsidRPr="00D6322D">
              <w:rPr>
                <w:rFonts w:ascii="Calibri" w:eastAsia="Calibri" w:hAnsi="Calibri" w:cs="Calibri"/>
                <w:b w:val="0"/>
                <w:sz w:val="24"/>
                <w:szCs w:val="24"/>
                <w:lang w:val="en"/>
              </w:rPr>
              <w:t xml:space="preserve"> </w:t>
            </w:r>
          </w:p>
        </w:tc>
        <w:tc>
          <w:tcPr>
            <w:tcW w:w="6925" w:type="dxa"/>
          </w:tcPr>
          <w:p w14:paraId="1C3FC6AD" w14:textId="21DF3B87" w:rsidR="002D62B1" w:rsidRPr="002D62B1" w:rsidRDefault="00C25926" w:rsidP="002D62B1">
            <w:pPr>
              <w:pStyle w:val="ListParagraph"/>
              <w:numPr>
                <w:ilvl w:val="0"/>
                <w:numId w:val="42"/>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2D62B1">
              <w:rPr>
                <w:rFonts w:ascii="Calibri" w:eastAsia="Calibri" w:hAnsi="Calibri" w:cs="Calibri"/>
                <w:b/>
                <w:bCs/>
                <w:sz w:val="24"/>
                <w:szCs w:val="24"/>
                <w:lang w:val="en"/>
              </w:rPr>
              <w:t xml:space="preserve">The Oakland Workforce </w:t>
            </w:r>
            <w:r w:rsidR="002D62B1" w:rsidRPr="002D62B1">
              <w:rPr>
                <w:rFonts w:ascii="Calibri" w:eastAsia="Calibri" w:hAnsi="Calibri" w:cs="Calibri"/>
                <w:b/>
                <w:bCs/>
                <w:sz w:val="24"/>
                <w:szCs w:val="24"/>
                <w:lang w:val="en"/>
              </w:rPr>
              <w:t>Collaborative</w:t>
            </w:r>
            <w:r w:rsidR="002D62B1">
              <w:rPr>
                <w:rFonts w:ascii="Calibri" w:eastAsia="Calibri" w:hAnsi="Calibri" w:cs="Calibri"/>
                <w:b/>
                <w:bCs/>
                <w:sz w:val="24"/>
                <w:szCs w:val="24"/>
                <w:lang w:val="en"/>
              </w:rPr>
              <w:t xml:space="preserve"> (OWC)</w:t>
            </w:r>
            <w:r w:rsidR="002D62B1" w:rsidRPr="002D62B1">
              <w:rPr>
                <w:sz w:val="24"/>
                <w:szCs w:val="24"/>
              </w:rPr>
              <w:t xml:space="preserve"> </w:t>
            </w:r>
            <w:r w:rsidR="002D62B1">
              <w:rPr>
                <w:sz w:val="24"/>
                <w:szCs w:val="24"/>
              </w:rPr>
              <w:t>The goals are the OWC are: 1.</w:t>
            </w:r>
            <w:r w:rsidR="002D62B1" w:rsidRPr="002D62B1">
              <w:rPr>
                <w:sz w:val="24"/>
                <w:szCs w:val="24"/>
              </w:rPr>
              <w:t xml:space="preserve"> Develop</w:t>
            </w:r>
            <w:r w:rsidR="002D62B1" w:rsidRPr="002D62B1">
              <w:rPr>
                <w:sz w:val="24"/>
                <w:szCs w:val="24"/>
              </w:rPr>
              <w:t xml:space="preserve"> a strong public/private partnership to better connect Oakland residents to self-sustaining jobs</w:t>
            </w:r>
            <w:r w:rsidR="002D62B1" w:rsidRPr="002D62B1">
              <w:rPr>
                <w:sz w:val="24"/>
                <w:szCs w:val="24"/>
              </w:rPr>
              <w:t>.</w:t>
            </w:r>
            <w:r w:rsidR="002D62B1">
              <w:rPr>
                <w:sz w:val="24"/>
                <w:szCs w:val="24"/>
              </w:rPr>
              <w:t xml:space="preserve"> 2</w:t>
            </w:r>
            <w:r w:rsidR="002D62B1" w:rsidRPr="002D62B1">
              <w:rPr>
                <w:sz w:val="24"/>
                <w:szCs w:val="24"/>
              </w:rPr>
              <w:t xml:space="preserve"> </w:t>
            </w:r>
            <w:r w:rsidR="002D62B1" w:rsidRPr="002D62B1">
              <w:rPr>
                <w:sz w:val="24"/>
                <w:szCs w:val="24"/>
              </w:rPr>
              <w:t>Identify gaps in workforce development resources in and develop strategies to fill them</w:t>
            </w:r>
            <w:r w:rsidR="002D62B1" w:rsidRPr="002D62B1">
              <w:rPr>
                <w:sz w:val="24"/>
                <w:szCs w:val="24"/>
              </w:rPr>
              <w:t xml:space="preserve">. </w:t>
            </w:r>
            <w:r w:rsidR="002D62B1">
              <w:rPr>
                <w:sz w:val="24"/>
                <w:szCs w:val="24"/>
              </w:rPr>
              <w:t>3.</w:t>
            </w:r>
            <w:r w:rsidR="002D62B1" w:rsidRPr="002D62B1">
              <w:rPr>
                <w:sz w:val="24"/>
                <w:szCs w:val="24"/>
              </w:rPr>
              <w:t>Reduce duplication of efforts among OWC partners and increase service efficiency.</w:t>
            </w:r>
            <w:r w:rsidR="002D62B1">
              <w:rPr>
                <w:sz w:val="24"/>
                <w:szCs w:val="24"/>
              </w:rPr>
              <w:t xml:space="preserve"> 4. </w:t>
            </w:r>
            <w:r w:rsidR="002D62B1" w:rsidRPr="002D62B1">
              <w:rPr>
                <w:sz w:val="24"/>
                <w:szCs w:val="24"/>
              </w:rPr>
              <w:t xml:space="preserve">Connect job seekers </w:t>
            </w:r>
            <w:r w:rsidR="002D62B1">
              <w:rPr>
                <w:sz w:val="24"/>
                <w:szCs w:val="24"/>
              </w:rPr>
              <w:t>t</w:t>
            </w:r>
            <w:r w:rsidR="002D62B1" w:rsidRPr="002D62B1">
              <w:rPr>
                <w:sz w:val="24"/>
                <w:szCs w:val="24"/>
              </w:rPr>
              <w:t>o high wage, high growth occupations through informed recruitment strategies from employers directly.</w:t>
            </w:r>
          </w:p>
          <w:p w14:paraId="4148A006" w14:textId="665F661B" w:rsidR="00314125" w:rsidRPr="00030FF5" w:rsidRDefault="00314125" w:rsidP="002D62B1">
            <w:pPr>
              <w:pStyle w:val="ListParagraph"/>
              <w:ind w:left="350"/>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en"/>
              </w:rPr>
            </w:pPr>
          </w:p>
        </w:tc>
      </w:tr>
      <w:tr w:rsidR="00314125" w:rsidRPr="00BD2859" w14:paraId="141FF3E8" w14:textId="77777777" w:rsidTr="006F6554">
        <w:tc>
          <w:tcPr>
            <w:cnfStyle w:val="001000000000" w:firstRow="0" w:lastRow="0" w:firstColumn="1" w:lastColumn="0" w:oddVBand="0" w:evenVBand="0" w:oddHBand="0" w:evenHBand="0" w:firstRowFirstColumn="0" w:firstRowLastColumn="0" w:lastRowFirstColumn="0" w:lastRowLastColumn="0"/>
            <w:tcW w:w="2425" w:type="dxa"/>
          </w:tcPr>
          <w:p w14:paraId="4F71A2DB" w14:textId="77777777" w:rsidR="00D56F70" w:rsidRDefault="00314125" w:rsidP="00C92439">
            <w:pPr>
              <w:rPr>
                <w:rFonts w:ascii="Calibri" w:eastAsia="Calibri" w:hAnsi="Calibri" w:cs="Calibri"/>
                <w:bCs w:val="0"/>
                <w:sz w:val="24"/>
                <w:szCs w:val="24"/>
                <w:lang w:val="en"/>
              </w:rPr>
            </w:pPr>
            <w:r w:rsidRPr="00D6322D">
              <w:rPr>
                <w:rFonts w:ascii="Calibri" w:eastAsia="Calibri" w:hAnsi="Calibri" w:cs="Calibri"/>
                <w:b w:val="0"/>
                <w:sz w:val="24"/>
                <w:szCs w:val="24"/>
                <w:lang w:val="en"/>
              </w:rPr>
              <w:t>Oakland Unified School District (OUSD)</w:t>
            </w:r>
          </w:p>
          <w:p w14:paraId="18AA09CD" w14:textId="77777777" w:rsidR="00D56F70" w:rsidRDefault="00314125" w:rsidP="00C92439">
            <w:pPr>
              <w:rPr>
                <w:rFonts w:ascii="Calibri" w:eastAsia="Calibri" w:hAnsi="Calibri" w:cs="Calibri"/>
                <w:bCs w:val="0"/>
                <w:sz w:val="24"/>
                <w:szCs w:val="24"/>
                <w:lang w:val="en"/>
              </w:rPr>
            </w:pPr>
            <w:r w:rsidRPr="00D6322D">
              <w:rPr>
                <w:rFonts w:ascii="Calibri" w:eastAsia="Calibri" w:hAnsi="Calibri" w:cs="Calibri"/>
                <w:b w:val="0"/>
                <w:sz w:val="24"/>
                <w:szCs w:val="24"/>
                <w:lang w:val="en"/>
              </w:rPr>
              <w:t>Northern Alameda Consortium for Adult Education (NACAE)</w:t>
            </w:r>
          </w:p>
          <w:p w14:paraId="20459780" w14:textId="1B9273BA" w:rsidR="00314125" w:rsidRPr="00D6322D" w:rsidRDefault="00D56F70" w:rsidP="00C92439">
            <w:pPr>
              <w:rPr>
                <w:rFonts w:ascii="Calibri" w:eastAsia="Calibri" w:hAnsi="Calibri" w:cs="Calibri"/>
                <w:b w:val="0"/>
                <w:sz w:val="24"/>
                <w:szCs w:val="24"/>
                <w:lang w:val="en"/>
              </w:rPr>
            </w:pPr>
            <w:r>
              <w:rPr>
                <w:rFonts w:ascii="Calibri" w:eastAsia="Calibri" w:hAnsi="Calibri" w:cs="Calibri"/>
                <w:b w:val="0"/>
                <w:sz w:val="24"/>
                <w:szCs w:val="24"/>
                <w:lang w:val="en"/>
              </w:rPr>
              <w:t>Alameda County Office of Education</w:t>
            </w:r>
          </w:p>
        </w:tc>
        <w:tc>
          <w:tcPr>
            <w:tcW w:w="6925" w:type="dxa"/>
          </w:tcPr>
          <w:p w14:paraId="16612FBF" w14:textId="6CE6FC6D" w:rsidR="00891BB0" w:rsidRPr="00891BB0" w:rsidRDefault="00C22EB6" w:rsidP="00891BB0">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Pr>
                <w:rFonts w:ascii="Calibri" w:hAnsi="Calibri"/>
                <w:color w:val="000000"/>
                <w:sz w:val="24"/>
                <w:szCs w:val="24"/>
              </w:rPr>
              <w:t>Ensure local CBO</w:t>
            </w:r>
            <w:r w:rsidRPr="00C22EB6">
              <w:rPr>
                <w:rFonts w:ascii="Calibri" w:hAnsi="Calibri"/>
                <w:color w:val="000000"/>
                <w:sz w:val="24"/>
                <w:szCs w:val="24"/>
              </w:rPr>
              <w:t xml:space="preserve"> pathway programs are aligned with Career Technical Education (CTE) offerings at the Adult Schools, Community Colleges and other institutions.</w:t>
            </w:r>
          </w:p>
          <w:p w14:paraId="29715CDF" w14:textId="77777777" w:rsidR="00891BB0" w:rsidRPr="00891BB0" w:rsidRDefault="00891BB0" w:rsidP="00891BB0">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891BB0">
              <w:rPr>
                <w:rFonts w:ascii="Calibri" w:hAnsi="Calibri"/>
                <w:color w:val="000000"/>
                <w:sz w:val="24"/>
                <w:szCs w:val="24"/>
              </w:rPr>
              <w:t xml:space="preserve">Enhance and expand the range of short-term, high-quality training programs offering skill development opportunities leading to industry recognized certifications that meet the needs of local employers. </w:t>
            </w:r>
          </w:p>
          <w:p w14:paraId="28D1CFDC" w14:textId="1C989C94" w:rsidR="00891BB0" w:rsidRPr="00891BB0" w:rsidRDefault="00891BB0" w:rsidP="00891BB0">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891BB0">
              <w:rPr>
                <w:rFonts w:ascii="Calibri" w:hAnsi="Calibri"/>
                <w:color w:val="000000"/>
                <w:sz w:val="24"/>
                <w:szCs w:val="24"/>
              </w:rPr>
              <w:t>Organize and support business involvement around the implementation of career pathway programs in Oakland that are being driven by adult education, community colleges, and other education/training partnerships.</w:t>
            </w:r>
          </w:p>
        </w:tc>
      </w:tr>
      <w:tr w:rsidR="00314125" w:rsidRPr="00BD2859" w14:paraId="56E40C89" w14:textId="77777777" w:rsidTr="006F65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E55CDF" w14:textId="77777777" w:rsidR="00314125" w:rsidRPr="00D6322D" w:rsidRDefault="00314125" w:rsidP="00C92439">
            <w:pPr>
              <w:rPr>
                <w:rFonts w:ascii="Calibri" w:eastAsia="Calibri" w:hAnsi="Calibri" w:cs="Calibri"/>
                <w:b w:val="0"/>
                <w:sz w:val="24"/>
                <w:szCs w:val="24"/>
                <w:lang w:val="en"/>
              </w:rPr>
            </w:pPr>
            <w:r w:rsidRPr="00D6322D">
              <w:rPr>
                <w:rFonts w:ascii="Calibri" w:eastAsia="Calibri" w:hAnsi="Calibri" w:cs="Calibri"/>
                <w:b w:val="0"/>
                <w:sz w:val="24"/>
                <w:szCs w:val="24"/>
                <w:lang w:val="en"/>
              </w:rPr>
              <w:t>United Indian Nations</w:t>
            </w:r>
          </w:p>
        </w:tc>
        <w:tc>
          <w:tcPr>
            <w:tcW w:w="6925" w:type="dxa"/>
          </w:tcPr>
          <w:p w14:paraId="78812565" w14:textId="67AF6D17" w:rsidR="009468EA" w:rsidRPr="009468EA" w:rsidRDefault="009A7B7B" w:rsidP="009468E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sz w:val="24"/>
                <w:szCs w:val="24"/>
              </w:rPr>
              <w:t>Work with UIN to ensure</w:t>
            </w:r>
            <w:r w:rsidR="009468EA" w:rsidRPr="009468EA">
              <w:rPr>
                <w:rFonts w:ascii="Calibri" w:hAnsi="Calibri"/>
                <w:color w:val="000000"/>
                <w:sz w:val="24"/>
                <w:szCs w:val="24"/>
              </w:rPr>
              <w:t xml:space="preserve"> that the local Native American populations have priority access to services, including training, supportive services, and other related investments. </w:t>
            </w:r>
          </w:p>
          <w:p w14:paraId="2028C396" w14:textId="5953665E" w:rsidR="00314125" w:rsidRPr="009468EA" w:rsidRDefault="009468EA" w:rsidP="009468E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9468EA">
              <w:rPr>
                <w:rFonts w:ascii="Calibri" w:hAnsi="Calibri"/>
                <w:color w:val="000000"/>
                <w:sz w:val="24"/>
                <w:szCs w:val="24"/>
              </w:rPr>
              <w:t>Strengthen information sharing and coordination of services and resources.</w:t>
            </w:r>
          </w:p>
        </w:tc>
      </w:tr>
      <w:tr w:rsidR="00314125" w:rsidRPr="00BD2859" w14:paraId="43A3C0F8" w14:textId="77777777" w:rsidTr="006F6554">
        <w:tc>
          <w:tcPr>
            <w:cnfStyle w:val="001000000000" w:firstRow="0" w:lastRow="0" w:firstColumn="1" w:lastColumn="0" w:oddVBand="0" w:evenVBand="0" w:oddHBand="0" w:evenHBand="0" w:firstRowFirstColumn="0" w:firstRowLastColumn="0" w:lastRowFirstColumn="0" w:lastRowLastColumn="0"/>
            <w:tcW w:w="2425" w:type="dxa"/>
          </w:tcPr>
          <w:p w14:paraId="16E4C225" w14:textId="761AB63C" w:rsidR="00314125" w:rsidRPr="00D6322D" w:rsidRDefault="00CB1549" w:rsidP="00C92439">
            <w:pPr>
              <w:rPr>
                <w:rFonts w:ascii="Calibri" w:eastAsia="Calibri" w:hAnsi="Calibri" w:cs="Calibri"/>
                <w:b w:val="0"/>
                <w:sz w:val="24"/>
                <w:szCs w:val="24"/>
                <w:lang w:val="en"/>
              </w:rPr>
            </w:pPr>
            <w:r>
              <w:rPr>
                <w:rFonts w:ascii="Calibri" w:eastAsia="Calibri" w:hAnsi="Calibri" w:cs="Calibri"/>
                <w:b w:val="0"/>
                <w:sz w:val="24"/>
                <w:szCs w:val="24"/>
                <w:lang w:val="en"/>
              </w:rPr>
              <w:t>Youth Services Providers</w:t>
            </w:r>
            <w:r w:rsidR="00314125" w:rsidRPr="00D6322D">
              <w:rPr>
                <w:rFonts w:ascii="Calibri" w:eastAsia="Calibri" w:hAnsi="Calibri" w:cs="Calibri"/>
                <w:b w:val="0"/>
                <w:sz w:val="24"/>
                <w:szCs w:val="24"/>
                <w:lang w:val="en"/>
              </w:rPr>
              <w:t xml:space="preserve"> </w:t>
            </w:r>
          </w:p>
        </w:tc>
        <w:tc>
          <w:tcPr>
            <w:tcW w:w="6925" w:type="dxa"/>
          </w:tcPr>
          <w:p w14:paraId="640313CB" w14:textId="3AA271D7" w:rsidR="00CB1549" w:rsidRPr="00CB1549" w:rsidRDefault="00CB1549" w:rsidP="00CB1549">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CB1549">
              <w:rPr>
                <w:rFonts w:ascii="Calibri" w:hAnsi="Calibri"/>
                <w:color w:val="000000"/>
                <w:sz w:val="24"/>
                <w:szCs w:val="24"/>
              </w:rPr>
              <w:t xml:space="preserve">Work with public, private, and community-based organizations to empower disconnected young people to access meaningful employment </w:t>
            </w:r>
            <w:r w:rsidR="007B6714" w:rsidRPr="00CB1549">
              <w:rPr>
                <w:rFonts w:ascii="Calibri" w:hAnsi="Calibri"/>
                <w:color w:val="000000"/>
                <w:sz w:val="24"/>
                <w:szCs w:val="24"/>
              </w:rPr>
              <w:t>opportunities.</w:t>
            </w:r>
          </w:p>
          <w:p w14:paraId="60F8CB7F" w14:textId="5FD7B929" w:rsidR="00314125" w:rsidRPr="00BD2859" w:rsidRDefault="00CB1549" w:rsidP="00CB1549">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CB1549">
              <w:rPr>
                <w:rFonts w:ascii="Calibri" w:hAnsi="Calibri"/>
                <w:color w:val="000000"/>
                <w:sz w:val="24"/>
                <w:szCs w:val="24"/>
              </w:rPr>
              <w:t>Coordinate resources and investments to better align with major citywide and regional efforts targeted toward the educational and career development of youth.</w:t>
            </w:r>
          </w:p>
        </w:tc>
      </w:tr>
      <w:tr w:rsidR="00E318AA" w:rsidRPr="00BD2859" w14:paraId="044F9690" w14:textId="77777777" w:rsidTr="00621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80E2158" w14:textId="466BD674" w:rsidR="00E318AA" w:rsidRPr="00D6322D" w:rsidRDefault="00E318AA" w:rsidP="006214E1">
            <w:pPr>
              <w:rPr>
                <w:rFonts w:ascii="Calibri" w:eastAsia="Calibri" w:hAnsi="Calibri" w:cs="Calibri"/>
                <w:b w:val="0"/>
                <w:sz w:val="24"/>
                <w:szCs w:val="24"/>
                <w:lang w:val="en"/>
              </w:rPr>
            </w:pPr>
            <w:r w:rsidRPr="0096282E">
              <w:rPr>
                <w:rFonts w:ascii="Calibri" w:eastAsia="Calibri" w:hAnsi="Calibri" w:cs="Calibri"/>
                <w:b w:val="0"/>
                <w:sz w:val="24"/>
                <w:szCs w:val="24"/>
                <w:lang w:val="en"/>
              </w:rPr>
              <w:t>Migrant Seasonal Farmworker Services</w:t>
            </w:r>
          </w:p>
        </w:tc>
        <w:tc>
          <w:tcPr>
            <w:tcW w:w="6925" w:type="dxa"/>
          </w:tcPr>
          <w:p w14:paraId="512224DA" w14:textId="0FFA1EE3" w:rsidR="00E318AA" w:rsidRPr="00CB1549" w:rsidRDefault="00E318AA" w:rsidP="006214E1">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Pr>
                <w:rFonts w:ascii="Calibri" w:hAnsi="Calibri"/>
                <w:color w:val="000000"/>
                <w:sz w:val="24"/>
                <w:szCs w:val="24"/>
              </w:rPr>
              <w:t xml:space="preserve">Work with adult education partners and community-based organizations to leverage </w:t>
            </w:r>
            <w:r w:rsidRPr="0096282E">
              <w:rPr>
                <w:rFonts w:ascii="Calibri" w:hAnsi="Calibri"/>
                <w:color w:val="000000"/>
                <w:sz w:val="24"/>
                <w:szCs w:val="24"/>
              </w:rPr>
              <w:t>Vocational English as a Second Language (VESL) instruction, short-term occupational skills training programs, and various supportive services such as food and housing assistance, transportation, and other essential needs</w:t>
            </w:r>
            <w:r>
              <w:rPr>
                <w:rFonts w:ascii="Calibri" w:hAnsi="Calibri"/>
                <w:color w:val="000000"/>
                <w:sz w:val="24"/>
                <w:szCs w:val="24"/>
              </w:rPr>
              <w:t xml:space="preserve">, for the Migrant Seasonal Farmworker population in </w:t>
            </w:r>
            <w:r w:rsidRPr="0096282E">
              <w:rPr>
                <w:rFonts w:ascii="Calibri" w:hAnsi="Calibri"/>
                <w:color w:val="000000"/>
                <w:sz w:val="24"/>
                <w:szCs w:val="24"/>
              </w:rPr>
              <w:t>Oakland</w:t>
            </w:r>
            <w:r>
              <w:rPr>
                <w:rFonts w:ascii="Calibri" w:hAnsi="Calibri"/>
                <w:color w:val="000000"/>
                <w:sz w:val="24"/>
                <w:szCs w:val="24"/>
              </w:rPr>
              <w:t>.</w:t>
            </w:r>
            <w:r w:rsidRPr="0096282E">
              <w:rPr>
                <w:rFonts w:ascii="Calibri" w:hAnsi="Calibri"/>
                <w:color w:val="000000"/>
                <w:sz w:val="24"/>
                <w:szCs w:val="24"/>
              </w:rPr>
              <w:t xml:space="preserve"> </w:t>
            </w:r>
            <w:r>
              <w:rPr>
                <w:rFonts w:ascii="Calibri" w:hAnsi="Calibri"/>
                <w:color w:val="000000"/>
                <w:sz w:val="24"/>
                <w:szCs w:val="24"/>
              </w:rPr>
              <w:t xml:space="preserve">(As this population </w:t>
            </w:r>
            <w:r w:rsidRPr="0096282E">
              <w:rPr>
                <w:rFonts w:ascii="Calibri" w:hAnsi="Calibri"/>
                <w:color w:val="000000"/>
                <w:sz w:val="24"/>
                <w:szCs w:val="24"/>
              </w:rPr>
              <w:t xml:space="preserve">is very small, with an estimated 1,072 people working in Agriculture, Forestry, Fishing, Hunting, </w:t>
            </w:r>
            <w:r w:rsidRPr="0096282E">
              <w:rPr>
                <w:rFonts w:ascii="Calibri" w:hAnsi="Calibri"/>
                <w:color w:val="000000"/>
                <w:sz w:val="24"/>
                <w:szCs w:val="24"/>
              </w:rPr>
              <w:lastRenderedPageBreak/>
              <w:t>and Mining occupations</w:t>
            </w:r>
            <w:r>
              <w:rPr>
                <w:rFonts w:ascii="Calibri" w:hAnsi="Calibri"/>
                <w:color w:val="000000"/>
                <w:sz w:val="24"/>
                <w:szCs w:val="24"/>
              </w:rPr>
              <w:t>,</w:t>
            </w:r>
            <w:r w:rsidRPr="0096282E">
              <w:rPr>
                <w:rFonts w:ascii="Calibri" w:hAnsi="Calibri"/>
                <w:color w:val="000000"/>
                <w:sz w:val="24"/>
                <w:szCs w:val="24"/>
              </w:rPr>
              <w:t xml:space="preserve"> the presence of WIOA Section 167 grantees in </w:t>
            </w:r>
            <w:r>
              <w:rPr>
                <w:rFonts w:ascii="Calibri" w:hAnsi="Calibri"/>
                <w:color w:val="000000"/>
                <w:sz w:val="24"/>
                <w:szCs w:val="24"/>
              </w:rPr>
              <w:t>Oakland is</w:t>
            </w:r>
            <w:r w:rsidRPr="0096282E">
              <w:rPr>
                <w:rFonts w:ascii="Calibri" w:hAnsi="Calibri"/>
                <w:color w:val="000000"/>
                <w:sz w:val="24"/>
                <w:szCs w:val="24"/>
              </w:rPr>
              <w:t xml:space="preserve"> limited</w:t>
            </w:r>
            <w:r>
              <w:rPr>
                <w:rFonts w:ascii="Calibri" w:hAnsi="Calibri"/>
                <w:color w:val="000000"/>
                <w:sz w:val="24"/>
                <w:szCs w:val="24"/>
              </w:rPr>
              <w:t>. The OWDB continues to partner with a</w:t>
            </w:r>
            <w:r w:rsidRPr="0096282E">
              <w:rPr>
                <w:rFonts w:ascii="Calibri" w:hAnsi="Calibri"/>
                <w:color w:val="000000"/>
                <w:sz w:val="24"/>
                <w:szCs w:val="24"/>
              </w:rPr>
              <w:t xml:space="preserve"> strong network of local public and nonprofit organizations that have capacity to help support the needs of this population, including recent immigrants.</w:t>
            </w:r>
            <w:r>
              <w:rPr>
                <w:rFonts w:ascii="Calibri" w:hAnsi="Calibri"/>
                <w:color w:val="000000"/>
                <w:sz w:val="24"/>
                <w:szCs w:val="24"/>
              </w:rPr>
              <w:t>)</w:t>
            </w:r>
          </w:p>
          <w:p w14:paraId="25ECB103" w14:textId="097FB4B9" w:rsidR="00E318AA" w:rsidRPr="00BD2859" w:rsidRDefault="00E318AA" w:rsidP="00E318AA">
            <w:pPr>
              <w:pStyle w:val="NormalWeb"/>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p>
        </w:tc>
      </w:tr>
    </w:tbl>
    <w:p w14:paraId="4879DBAC" w14:textId="77777777" w:rsidR="00CD5FF4" w:rsidRDefault="00CD5FF4" w:rsidP="00F4256D">
      <w:pPr>
        <w:jc w:val="both"/>
        <w:rPr>
          <w:rFonts w:ascii="Calibri" w:eastAsia="Calibri" w:hAnsi="Calibri" w:cs="Calibri"/>
        </w:rPr>
      </w:pPr>
    </w:p>
    <w:p w14:paraId="2C858AA1" w14:textId="0E286C14" w:rsidR="0022336F" w:rsidRDefault="007D1DD5" w:rsidP="0022336F">
      <w:pPr>
        <w:jc w:val="both"/>
        <w:rPr>
          <w:rFonts w:ascii="Calibri" w:eastAsia="Calibri" w:hAnsi="Calibri" w:cs="Calibri"/>
        </w:rPr>
      </w:pPr>
      <w:r>
        <w:rPr>
          <w:rFonts w:ascii="Calibri" w:eastAsia="Calibri" w:hAnsi="Calibri" w:cs="Calibri"/>
        </w:rPr>
        <w:t>In</w:t>
      </w:r>
      <w:r w:rsidR="00126226">
        <w:rPr>
          <w:rFonts w:ascii="Calibri" w:eastAsia="Calibri" w:hAnsi="Calibri" w:cs="Calibri"/>
        </w:rPr>
        <w:t xml:space="preserve"> outreach meetings with MOU Core Partners during the PY21-24 Local Plan planning process, OWDB and WIOA stakeholders identified emergent priority areas.</w:t>
      </w:r>
      <w:r>
        <w:rPr>
          <w:rFonts w:ascii="Calibri" w:eastAsia="Calibri" w:hAnsi="Calibri" w:cs="Calibri"/>
        </w:rPr>
        <w:t xml:space="preserve"> In addition to the ongoing strategies described in </w:t>
      </w:r>
      <w:r>
        <w:rPr>
          <w:rFonts w:ascii="Calibri" w:eastAsia="Calibri" w:hAnsi="Calibri" w:cs="Calibri"/>
        </w:rPr>
        <w:fldChar w:fldCharType="begin"/>
      </w:r>
      <w:r>
        <w:rPr>
          <w:rFonts w:ascii="Calibri" w:eastAsia="Calibri" w:hAnsi="Calibri" w:cs="Calibri"/>
        </w:rPr>
        <w:instrText xml:space="preserve"> REF _Ref66122470 \h </w:instrText>
      </w:r>
      <w:r w:rsidR="00F4256D">
        <w:rPr>
          <w:rFonts w:ascii="Calibri" w:eastAsia="Calibri" w:hAnsi="Calibri" w:cs="Calibri"/>
        </w:rPr>
        <w:instrText xml:space="preserve"> \* MERGEFORMAT </w:instrText>
      </w:r>
      <w:r>
        <w:rPr>
          <w:rFonts w:ascii="Calibri" w:eastAsia="Calibri" w:hAnsi="Calibri" w:cs="Calibri"/>
        </w:rPr>
      </w:r>
      <w:r>
        <w:rPr>
          <w:rFonts w:ascii="Calibri" w:eastAsia="Calibri" w:hAnsi="Calibri" w:cs="Calibri"/>
        </w:rPr>
        <w:fldChar w:fldCharType="separate"/>
      </w:r>
      <w:r w:rsidR="000F6D23" w:rsidRPr="00314125">
        <w:t xml:space="preserve">Table </w:t>
      </w:r>
      <w:r w:rsidR="000F6D23">
        <w:rPr>
          <w:noProof/>
        </w:rPr>
        <w:t>2</w:t>
      </w:r>
      <w:r>
        <w:rPr>
          <w:rFonts w:ascii="Calibri" w:eastAsia="Calibri" w:hAnsi="Calibri" w:cs="Calibri"/>
        </w:rPr>
        <w:fldChar w:fldCharType="end"/>
      </w:r>
      <w:r>
        <w:rPr>
          <w:rFonts w:ascii="Calibri" w:eastAsia="Calibri" w:hAnsi="Calibri" w:cs="Calibri"/>
        </w:rPr>
        <w:t xml:space="preserve"> above, </w:t>
      </w:r>
      <w:r w:rsidR="00D6322D" w:rsidRPr="00D6322D">
        <w:rPr>
          <w:rFonts w:ascii="Calibri" w:eastAsia="Calibri" w:hAnsi="Calibri" w:cs="Calibri"/>
        </w:rPr>
        <w:t>the OWDB will</w:t>
      </w:r>
      <w:r w:rsidR="0022336F">
        <w:rPr>
          <w:rFonts w:ascii="Calibri" w:eastAsia="Calibri" w:hAnsi="Calibri" w:cs="Calibri"/>
        </w:rPr>
        <w:t xml:space="preserve"> take the </w:t>
      </w:r>
      <w:r w:rsidR="0022336F" w:rsidRPr="007D1DD5">
        <w:rPr>
          <w:rFonts w:ascii="Calibri" w:eastAsia="Calibri" w:hAnsi="Calibri" w:cs="Calibri"/>
          <w:b/>
        </w:rPr>
        <w:t>emergent strategy areas</w:t>
      </w:r>
      <w:r w:rsidR="0022336F" w:rsidRPr="00D6322D">
        <w:rPr>
          <w:rFonts w:ascii="Calibri" w:eastAsia="Calibri" w:hAnsi="Calibri" w:cs="Calibri"/>
        </w:rPr>
        <w:t xml:space="preserve"> </w:t>
      </w:r>
      <w:r w:rsidR="0022336F">
        <w:rPr>
          <w:rFonts w:ascii="Calibri" w:eastAsia="Calibri" w:hAnsi="Calibri" w:cs="Calibri"/>
        </w:rPr>
        <w:t xml:space="preserve">described in </w:t>
      </w:r>
      <w:r w:rsidR="0022336F">
        <w:rPr>
          <w:rFonts w:ascii="Calibri" w:eastAsia="Calibri" w:hAnsi="Calibri" w:cs="Calibri"/>
        </w:rPr>
        <w:fldChar w:fldCharType="begin"/>
      </w:r>
      <w:r w:rsidR="0022336F">
        <w:rPr>
          <w:rFonts w:ascii="Calibri" w:eastAsia="Calibri" w:hAnsi="Calibri" w:cs="Calibri"/>
        </w:rPr>
        <w:instrText xml:space="preserve"> REF _Ref66110845 \h  \* MERGEFORMAT </w:instrText>
      </w:r>
      <w:r w:rsidR="0022336F">
        <w:rPr>
          <w:rFonts w:ascii="Calibri" w:eastAsia="Calibri" w:hAnsi="Calibri" w:cs="Calibri"/>
        </w:rPr>
      </w:r>
      <w:r w:rsidR="0022336F">
        <w:rPr>
          <w:rFonts w:ascii="Calibri" w:eastAsia="Calibri" w:hAnsi="Calibri" w:cs="Calibri"/>
        </w:rPr>
        <w:fldChar w:fldCharType="separate"/>
      </w:r>
      <w:r w:rsidR="0022336F" w:rsidRPr="009D395F">
        <w:t xml:space="preserve">Table </w:t>
      </w:r>
      <w:r w:rsidR="0022336F">
        <w:rPr>
          <w:noProof/>
        </w:rPr>
        <w:t>3</w:t>
      </w:r>
      <w:r w:rsidR="0022336F">
        <w:rPr>
          <w:rFonts w:ascii="Calibri" w:eastAsia="Calibri" w:hAnsi="Calibri" w:cs="Calibri"/>
        </w:rPr>
        <w:fldChar w:fldCharType="end"/>
      </w:r>
      <w:r w:rsidR="0022336F">
        <w:rPr>
          <w:rFonts w:ascii="Calibri" w:eastAsia="Calibri" w:hAnsi="Calibri" w:cs="Calibri"/>
        </w:rPr>
        <w:t xml:space="preserve"> into consideration </w:t>
      </w:r>
      <w:r w:rsidR="00F013EC">
        <w:rPr>
          <w:rFonts w:ascii="Calibri" w:eastAsia="Calibri" w:hAnsi="Calibri" w:cs="Calibri"/>
        </w:rPr>
        <w:t xml:space="preserve">through its </w:t>
      </w:r>
      <w:r w:rsidR="0022336F" w:rsidRPr="00D6322D">
        <w:rPr>
          <w:rFonts w:ascii="Calibri" w:eastAsia="Calibri" w:hAnsi="Calibri" w:cs="Calibri"/>
        </w:rPr>
        <w:t xml:space="preserve">WIOA core and </w:t>
      </w:r>
      <w:r w:rsidR="00F013EC">
        <w:rPr>
          <w:rFonts w:ascii="Calibri" w:eastAsia="Calibri" w:hAnsi="Calibri" w:cs="Calibri"/>
        </w:rPr>
        <w:t xml:space="preserve">other partnerships while </w:t>
      </w:r>
      <w:r w:rsidR="0022336F">
        <w:rPr>
          <w:rFonts w:ascii="Calibri" w:eastAsia="Calibri" w:hAnsi="Calibri" w:cs="Calibri"/>
        </w:rPr>
        <w:t>assess</w:t>
      </w:r>
      <w:r w:rsidR="00F013EC">
        <w:rPr>
          <w:rFonts w:ascii="Calibri" w:eastAsia="Calibri" w:hAnsi="Calibri" w:cs="Calibri"/>
        </w:rPr>
        <w:t>ing</w:t>
      </w:r>
      <w:r w:rsidR="0022336F">
        <w:rPr>
          <w:rFonts w:ascii="Calibri" w:eastAsia="Calibri" w:hAnsi="Calibri" w:cs="Calibri"/>
        </w:rPr>
        <w:t xml:space="preserve"> feasibility. </w:t>
      </w:r>
    </w:p>
    <w:p w14:paraId="76BDE3C5" w14:textId="67A3987F" w:rsidR="0022336F" w:rsidRDefault="0022336F" w:rsidP="0022336F">
      <w:pPr>
        <w:jc w:val="both"/>
        <w:rPr>
          <w:rFonts w:ascii="Calibri" w:eastAsia="Calibri" w:hAnsi="Calibri" w:cs="Calibri"/>
        </w:rPr>
      </w:pPr>
    </w:p>
    <w:p w14:paraId="5C76DD3F" w14:textId="3690604B" w:rsidR="00B1722B" w:rsidRPr="009D395F" w:rsidRDefault="00B1722B" w:rsidP="00B1722B">
      <w:pPr>
        <w:pStyle w:val="Caption"/>
        <w:rPr>
          <w:sz w:val="24"/>
        </w:rPr>
      </w:pPr>
      <w:bookmarkStart w:id="2" w:name="_Ref66110845"/>
      <w:r w:rsidRPr="009D395F">
        <w:rPr>
          <w:sz w:val="24"/>
        </w:rPr>
        <w:t xml:space="preserve">Table </w:t>
      </w:r>
      <w:r w:rsidRPr="009D395F">
        <w:rPr>
          <w:sz w:val="24"/>
        </w:rPr>
        <w:fldChar w:fldCharType="begin"/>
      </w:r>
      <w:r w:rsidRPr="009D395F">
        <w:rPr>
          <w:sz w:val="24"/>
        </w:rPr>
        <w:instrText xml:space="preserve"> SEQ Table \* ARABIC </w:instrText>
      </w:r>
      <w:r w:rsidRPr="009D395F">
        <w:rPr>
          <w:sz w:val="24"/>
        </w:rPr>
        <w:fldChar w:fldCharType="separate"/>
      </w:r>
      <w:r w:rsidR="000F6D23">
        <w:rPr>
          <w:noProof/>
          <w:sz w:val="24"/>
        </w:rPr>
        <w:t>3</w:t>
      </w:r>
      <w:r w:rsidRPr="009D395F">
        <w:rPr>
          <w:sz w:val="24"/>
        </w:rPr>
        <w:fldChar w:fldCharType="end"/>
      </w:r>
      <w:bookmarkEnd w:id="2"/>
      <w:r w:rsidR="009D395F" w:rsidRPr="009D395F">
        <w:rPr>
          <w:sz w:val="24"/>
        </w:rPr>
        <w:t xml:space="preserve">: </w:t>
      </w:r>
      <w:r w:rsidRPr="009D395F">
        <w:rPr>
          <w:sz w:val="24"/>
        </w:rPr>
        <w:t xml:space="preserve">PY21-24 MOU Core Partner </w:t>
      </w:r>
      <w:r w:rsidR="00505258">
        <w:rPr>
          <w:sz w:val="24"/>
        </w:rPr>
        <w:t xml:space="preserve">Emergent </w:t>
      </w:r>
      <w:r w:rsidRPr="009D395F">
        <w:rPr>
          <w:sz w:val="24"/>
        </w:rPr>
        <w:t>Strategy Areas</w:t>
      </w:r>
    </w:p>
    <w:tbl>
      <w:tblPr>
        <w:tblStyle w:val="GridTable4-Accent51"/>
        <w:tblW w:w="0" w:type="auto"/>
        <w:tblLook w:val="04A0" w:firstRow="1" w:lastRow="0" w:firstColumn="1" w:lastColumn="0" w:noHBand="0" w:noVBand="1"/>
      </w:tblPr>
      <w:tblGrid>
        <w:gridCol w:w="2425"/>
        <w:gridCol w:w="6925"/>
      </w:tblGrid>
      <w:tr w:rsidR="00B1722B" w:rsidRPr="00817CC9" w14:paraId="6CBF03F6" w14:textId="77777777" w:rsidTr="00D93F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0E3D7BC" w14:textId="27C7CAA8" w:rsidR="00B1722B" w:rsidRPr="00817CC9" w:rsidRDefault="009D395F" w:rsidP="00C92439">
            <w:pPr>
              <w:jc w:val="center"/>
              <w:rPr>
                <w:rFonts w:ascii="Calibri" w:eastAsia="Calibri" w:hAnsi="Calibri" w:cs="Calibri"/>
                <w:sz w:val="24"/>
                <w:szCs w:val="24"/>
                <w:lang w:val="en"/>
              </w:rPr>
            </w:pPr>
            <w:r w:rsidRPr="00817CC9">
              <w:rPr>
                <w:rFonts w:ascii="Calibri" w:eastAsia="Calibri" w:hAnsi="Calibri" w:cs="Calibri"/>
                <w:sz w:val="24"/>
                <w:szCs w:val="24"/>
                <w:lang w:val="en"/>
              </w:rPr>
              <w:t>Strategy Area</w:t>
            </w:r>
          </w:p>
        </w:tc>
        <w:tc>
          <w:tcPr>
            <w:tcW w:w="6925" w:type="dxa"/>
          </w:tcPr>
          <w:p w14:paraId="0FD80185" w14:textId="5DB9B733" w:rsidR="00B1722B" w:rsidRPr="00817CC9" w:rsidRDefault="009D395F" w:rsidP="00C9243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817CC9">
              <w:rPr>
                <w:rFonts w:ascii="Calibri" w:eastAsia="Calibri" w:hAnsi="Calibri" w:cs="Calibri"/>
                <w:sz w:val="24"/>
                <w:szCs w:val="24"/>
                <w:lang w:val="en"/>
              </w:rPr>
              <w:t>PY21-24 Objectives</w:t>
            </w:r>
          </w:p>
        </w:tc>
      </w:tr>
      <w:tr w:rsidR="00B1722B" w:rsidRPr="00817CC9" w14:paraId="537ACC4C" w14:textId="77777777" w:rsidTr="00D9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4955A7" w14:textId="3A037822" w:rsidR="00B1722B" w:rsidRPr="00817CC9" w:rsidRDefault="00817CC9" w:rsidP="00817CC9">
            <w:pPr>
              <w:rPr>
                <w:rFonts w:ascii="Calibri" w:eastAsia="Calibri" w:hAnsi="Calibri" w:cs="Calibri"/>
                <w:b w:val="0"/>
                <w:sz w:val="24"/>
                <w:szCs w:val="24"/>
                <w:lang w:val="en"/>
              </w:rPr>
            </w:pPr>
            <w:r w:rsidRPr="00817CC9">
              <w:rPr>
                <w:rFonts w:ascii="Calibri" w:eastAsia="Calibri" w:hAnsi="Calibri" w:cs="Calibri"/>
                <w:b w:val="0"/>
                <w:sz w:val="24"/>
                <w:szCs w:val="24"/>
                <w:lang w:val="en"/>
              </w:rPr>
              <w:t>MOU Core Partner Coordination &amp; Collaboration</w:t>
            </w:r>
            <w:r w:rsidR="00B1722B" w:rsidRPr="00817CC9">
              <w:rPr>
                <w:rFonts w:ascii="Calibri" w:eastAsia="Calibri" w:hAnsi="Calibri" w:cs="Calibri"/>
                <w:b w:val="0"/>
                <w:sz w:val="24"/>
                <w:szCs w:val="24"/>
                <w:lang w:val="en"/>
              </w:rPr>
              <w:t xml:space="preserve"> </w:t>
            </w:r>
          </w:p>
        </w:tc>
        <w:tc>
          <w:tcPr>
            <w:tcW w:w="6925" w:type="dxa"/>
          </w:tcPr>
          <w:p w14:paraId="65BA1423" w14:textId="68DF7220" w:rsidR="00B1722B" w:rsidRPr="00D93F2E" w:rsidRDefault="00D93F2E" w:rsidP="00D93F2E">
            <w:pPr>
              <w:pStyle w:val="ListParagraph"/>
              <w:numPr>
                <w:ilvl w:val="0"/>
                <w:numId w:val="19"/>
              </w:numPr>
              <w:ind w:left="254" w:hanging="18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Pr>
                <w:rFonts w:ascii="Calibri" w:eastAsia="Calibri" w:hAnsi="Calibri" w:cs="Calibri"/>
                <w:b/>
                <w:sz w:val="24"/>
                <w:szCs w:val="24"/>
              </w:rPr>
              <w:t>Hold</w:t>
            </w:r>
            <w:r w:rsidR="00D6322D" w:rsidRPr="00D93F2E">
              <w:rPr>
                <w:rFonts w:ascii="Calibri" w:eastAsia="Calibri" w:hAnsi="Calibri" w:cs="Calibri"/>
                <w:b/>
                <w:sz w:val="24"/>
                <w:szCs w:val="24"/>
              </w:rPr>
              <w:t xml:space="preserve"> quarterly meetings with WIOA core partners. </w:t>
            </w:r>
            <w:r w:rsidR="00D6322D" w:rsidRPr="00D93F2E">
              <w:rPr>
                <w:rFonts w:ascii="Calibri" w:eastAsia="Calibri" w:hAnsi="Calibri" w:cs="Calibri"/>
                <w:sz w:val="24"/>
                <w:szCs w:val="24"/>
              </w:rPr>
              <w:t xml:space="preserve">Partnerships </w:t>
            </w:r>
            <w:r w:rsidR="00392923">
              <w:rPr>
                <w:rFonts w:ascii="Calibri" w:eastAsia="Calibri" w:hAnsi="Calibri" w:cs="Calibri"/>
                <w:sz w:val="24"/>
                <w:szCs w:val="24"/>
              </w:rPr>
              <w:t>stalled</w:t>
            </w:r>
            <w:r w:rsidR="00D6322D" w:rsidRPr="00D93F2E">
              <w:rPr>
                <w:rFonts w:ascii="Calibri" w:eastAsia="Calibri" w:hAnsi="Calibri" w:cs="Calibri"/>
                <w:sz w:val="24"/>
                <w:szCs w:val="24"/>
              </w:rPr>
              <w:t xml:space="preserve"> in the last year due to the COVID-19 pandemic, and the OWDB has started re-engaging </w:t>
            </w:r>
            <w:r w:rsidR="00392923">
              <w:rPr>
                <w:rFonts w:ascii="Calibri" w:eastAsia="Calibri" w:hAnsi="Calibri" w:cs="Calibri"/>
                <w:sz w:val="24"/>
                <w:szCs w:val="24"/>
              </w:rPr>
              <w:t xml:space="preserve">its core </w:t>
            </w:r>
            <w:r w:rsidR="00D6322D" w:rsidRPr="00D93F2E">
              <w:rPr>
                <w:rFonts w:ascii="Calibri" w:eastAsia="Calibri" w:hAnsi="Calibri" w:cs="Calibri"/>
                <w:sz w:val="24"/>
                <w:szCs w:val="24"/>
              </w:rPr>
              <w:t>partners</w:t>
            </w:r>
            <w:r w:rsidR="00392923">
              <w:rPr>
                <w:rFonts w:ascii="Calibri" w:eastAsia="Calibri" w:hAnsi="Calibri" w:cs="Calibri"/>
                <w:sz w:val="24"/>
                <w:szCs w:val="24"/>
              </w:rPr>
              <w:t xml:space="preserve"> to align workforce development and education efforts</w:t>
            </w:r>
            <w:r w:rsidR="00E141DC">
              <w:rPr>
                <w:rFonts w:ascii="Calibri" w:eastAsia="Calibri" w:hAnsi="Calibri" w:cs="Calibri"/>
                <w:sz w:val="24"/>
                <w:szCs w:val="24"/>
              </w:rPr>
              <w:t xml:space="preserve"> locally</w:t>
            </w:r>
            <w:r w:rsidR="00392923">
              <w:rPr>
                <w:rFonts w:ascii="Calibri" w:eastAsia="Calibri" w:hAnsi="Calibri" w:cs="Calibri"/>
                <w:sz w:val="24"/>
                <w:szCs w:val="24"/>
              </w:rPr>
              <w:t>.</w:t>
            </w:r>
            <w:r w:rsidR="00D6322D" w:rsidRPr="00D93F2E">
              <w:rPr>
                <w:rFonts w:ascii="Calibri" w:eastAsia="Calibri" w:hAnsi="Calibri" w:cs="Calibri"/>
                <w:sz w:val="24"/>
                <w:szCs w:val="24"/>
              </w:rPr>
              <w:t xml:space="preserve"> In this process, stakeholders identified that a key need is logistical support for partner collaboration. OWDB is committed to leveraging its </w:t>
            </w:r>
            <w:r w:rsidR="00BC2622">
              <w:rPr>
                <w:rFonts w:ascii="Calibri" w:eastAsia="Calibri" w:hAnsi="Calibri" w:cs="Calibri"/>
                <w:sz w:val="24"/>
                <w:szCs w:val="24"/>
              </w:rPr>
              <w:t>local network</w:t>
            </w:r>
            <w:r w:rsidR="00D6322D" w:rsidRPr="00D93F2E">
              <w:rPr>
                <w:rFonts w:ascii="Calibri" w:eastAsia="Calibri" w:hAnsi="Calibri" w:cs="Calibri"/>
                <w:sz w:val="24"/>
                <w:szCs w:val="24"/>
              </w:rPr>
              <w:t xml:space="preserve"> and providing the necessary supports to convene partners, whether in a virtual or in-person environment</w:t>
            </w:r>
            <w:r w:rsidR="00D42634">
              <w:rPr>
                <w:rFonts w:ascii="Calibri" w:eastAsia="Calibri" w:hAnsi="Calibri" w:cs="Calibri"/>
                <w:sz w:val="24"/>
                <w:szCs w:val="24"/>
              </w:rPr>
              <w:t xml:space="preserve">, on a quarterly basis. </w:t>
            </w:r>
          </w:p>
          <w:p w14:paraId="7B67AD93" w14:textId="06B9C5BB" w:rsidR="00D93F2E" w:rsidRPr="00D93F2E" w:rsidRDefault="00D93F2E" w:rsidP="00D93F2E">
            <w:pPr>
              <w:pStyle w:val="ListParagraph"/>
              <w:numPr>
                <w:ilvl w:val="0"/>
                <w:numId w:val="19"/>
              </w:numPr>
              <w:ind w:left="254" w:hanging="18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D93F2E">
              <w:rPr>
                <w:rFonts w:ascii="Calibri" w:eastAsia="Calibri" w:hAnsi="Calibri" w:cs="Calibri"/>
                <w:b/>
                <w:sz w:val="24"/>
                <w:szCs w:val="24"/>
                <w:lang w:val="en"/>
              </w:rPr>
              <w:t>Facilitate cross-training opportunities with core partners.</w:t>
            </w:r>
            <w:r>
              <w:rPr>
                <w:rFonts w:ascii="Calibri" w:eastAsia="Calibri" w:hAnsi="Calibri" w:cs="Calibri"/>
                <w:sz w:val="24"/>
                <w:szCs w:val="24"/>
                <w:lang w:val="en"/>
              </w:rPr>
              <w:t xml:space="preserve"> </w:t>
            </w:r>
            <w:r w:rsidR="00E93D8D">
              <w:rPr>
                <w:rFonts w:ascii="Calibri" w:eastAsia="Calibri" w:hAnsi="Calibri" w:cs="Calibri"/>
                <w:sz w:val="24"/>
                <w:szCs w:val="24"/>
                <w:lang w:val="en"/>
              </w:rPr>
              <w:t xml:space="preserve">Partners emphasized that OWDB provides a unique value-add for job seekers and employers alike, and the OWDB </w:t>
            </w:r>
            <w:r w:rsidR="00FE3A6A">
              <w:rPr>
                <w:rFonts w:ascii="Calibri" w:eastAsia="Calibri" w:hAnsi="Calibri" w:cs="Calibri"/>
                <w:sz w:val="24"/>
                <w:szCs w:val="24"/>
                <w:lang w:val="en"/>
              </w:rPr>
              <w:t>should</w:t>
            </w:r>
            <w:r w:rsidR="00E93D8D">
              <w:rPr>
                <w:rFonts w:ascii="Calibri" w:eastAsia="Calibri" w:hAnsi="Calibri" w:cs="Calibri"/>
                <w:sz w:val="24"/>
                <w:szCs w:val="24"/>
                <w:lang w:val="en"/>
              </w:rPr>
              <w:t xml:space="preserve"> facilitate cross-training (i.e., in-service trainings) with partner agencies and stakeholders to build </w:t>
            </w:r>
            <w:r w:rsidR="00687D84">
              <w:rPr>
                <w:rFonts w:ascii="Calibri" w:eastAsia="Calibri" w:hAnsi="Calibri" w:cs="Calibri"/>
                <w:sz w:val="24"/>
                <w:szCs w:val="24"/>
                <w:lang w:val="en"/>
              </w:rPr>
              <w:t xml:space="preserve">their </w:t>
            </w:r>
            <w:r w:rsidR="00E93D8D">
              <w:rPr>
                <w:rFonts w:ascii="Calibri" w:eastAsia="Calibri" w:hAnsi="Calibri" w:cs="Calibri"/>
                <w:sz w:val="24"/>
                <w:szCs w:val="24"/>
                <w:lang w:val="en"/>
              </w:rPr>
              <w:t xml:space="preserve">capacity </w:t>
            </w:r>
            <w:r w:rsidR="00687D84">
              <w:rPr>
                <w:rFonts w:ascii="Calibri" w:eastAsia="Calibri" w:hAnsi="Calibri" w:cs="Calibri"/>
                <w:sz w:val="24"/>
                <w:szCs w:val="24"/>
                <w:lang w:val="en"/>
              </w:rPr>
              <w:t>in</w:t>
            </w:r>
            <w:r w:rsidR="00E93D8D">
              <w:rPr>
                <w:rFonts w:ascii="Calibri" w:eastAsia="Calibri" w:hAnsi="Calibri" w:cs="Calibri"/>
                <w:sz w:val="24"/>
                <w:szCs w:val="24"/>
                <w:lang w:val="en"/>
              </w:rPr>
              <w:t xml:space="preserve"> workforce development best practices and community needs. </w:t>
            </w:r>
          </w:p>
        </w:tc>
      </w:tr>
      <w:tr w:rsidR="00CF5EBE" w:rsidRPr="00817CC9" w14:paraId="5EB7CF22" w14:textId="77777777" w:rsidTr="00D93F2E">
        <w:tc>
          <w:tcPr>
            <w:cnfStyle w:val="001000000000" w:firstRow="0" w:lastRow="0" w:firstColumn="1" w:lastColumn="0" w:oddVBand="0" w:evenVBand="0" w:oddHBand="0" w:evenHBand="0" w:firstRowFirstColumn="0" w:firstRowLastColumn="0" w:lastRowFirstColumn="0" w:lastRowLastColumn="0"/>
            <w:tcW w:w="2425" w:type="dxa"/>
          </w:tcPr>
          <w:p w14:paraId="3315F034" w14:textId="5BEC58FF" w:rsidR="00CF5EBE" w:rsidRPr="00CF5EBE" w:rsidRDefault="00CF5EBE" w:rsidP="00817CC9">
            <w:pPr>
              <w:rPr>
                <w:rFonts w:ascii="Calibri" w:eastAsia="Calibri" w:hAnsi="Calibri" w:cs="Calibri"/>
                <w:b w:val="0"/>
                <w:sz w:val="24"/>
                <w:szCs w:val="24"/>
                <w:lang w:val="en"/>
              </w:rPr>
            </w:pPr>
            <w:r w:rsidRPr="00CF5EBE">
              <w:rPr>
                <w:rFonts w:ascii="Calibri" w:eastAsia="Calibri" w:hAnsi="Calibri" w:cs="Calibri"/>
                <w:b w:val="0"/>
                <w:sz w:val="24"/>
                <w:szCs w:val="24"/>
                <w:lang w:val="en"/>
              </w:rPr>
              <w:t>Employ</w:t>
            </w:r>
            <w:r>
              <w:rPr>
                <w:rFonts w:ascii="Calibri" w:eastAsia="Calibri" w:hAnsi="Calibri" w:cs="Calibri"/>
                <w:b w:val="0"/>
                <w:sz w:val="24"/>
                <w:szCs w:val="24"/>
                <w:lang w:val="en"/>
              </w:rPr>
              <w:t>er Connections</w:t>
            </w:r>
          </w:p>
        </w:tc>
        <w:tc>
          <w:tcPr>
            <w:tcW w:w="6925" w:type="dxa"/>
          </w:tcPr>
          <w:p w14:paraId="6BACC96A" w14:textId="5E012349" w:rsidR="00CF5EBE" w:rsidRPr="00CF5EBE" w:rsidRDefault="0009618E" w:rsidP="00D93F2E">
            <w:pPr>
              <w:pStyle w:val="ListParagraph"/>
              <w:numPr>
                <w:ilvl w:val="0"/>
                <w:numId w:val="19"/>
              </w:numPr>
              <w:ind w:left="254" w:hanging="18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4"/>
                <w:szCs w:val="24"/>
              </w:rPr>
            </w:pPr>
            <w:r>
              <w:rPr>
                <w:rFonts w:ascii="Calibri" w:eastAsia="Calibri" w:hAnsi="Calibri" w:cs="Calibri"/>
                <w:b/>
                <w:sz w:val="24"/>
                <w:szCs w:val="24"/>
              </w:rPr>
              <w:t xml:space="preserve">Increase outreach to </w:t>
            </w:r>
            <w:r w:rsidR="00A8553B">
              <w:rPr>
                <w:rFonts w:ascii="Calibri" w:eastAsia="Calibri" w:hAnsi="Calibri" w:cs="Calibri"/>
                <w:b/>
                <w:sz w:val="24"/>
                <w:szCs w:val="24"/>
              </w:rPr>
              <w:t xml:space="preserve">the </w:t>
            </w:r>
            <w:r>
              <w:rPr>
                <w:rFonts w:ascii="Calibri" w:eastAsia="Calibri" w:hAnsi="Calibri" w:cs="Calibri"/>
                <w:b/>
                <w:sz w:val="24"/>
                <w:szCs w:val="24"/>
              </w:rPr>
              <w:t xml:space="preserve">Oakland small business community. </w:t>
            </w:r>
            <w:r w:rsidR="00B80067">
              <w:rPr>
                <w:rFonts w:ascii="Calibri" w:eastAsia="Calibri" w:hAnsi="Calibri" w:cs="Calibri"/>
                <w:sz w:val="24"/>
                <w:szCs w:val="24"/>
              </w:rPr>
              <w:t xml:space="preserve">While the OWDB </w:t>
            </w:r>
            <w:r w:rsidR="00DA30BE">
              <w:rPr>
                <w:rFonts w:ascii="Calibri" w:eastAsia="Calibri" w:hAnsi="Calibri" w:cs="Calibri"/>
                <w:sz w:val="24"/>
                <w:szCs w:val="24"/>
              </w:rPr>
              <w:t>continues to partner with</w:t>
            </w:r>
            <w:r w:rsidR="00FE3A6A">
              <w:rPr>
                <w:rFonts w:ascii="Calibri" w:eastAsia="Calibri" w:hAnsi="Calibri" w:cs="Calibri"/>
                <w:sz w:val="24"/>
                <w:szCs w:val="24"/>
              </w:rPr>
              <w:t xml:space="preserve"> </w:t>
            </w:r>
            <w:r w:rsidR="00DA30BE">
              <w:rPr>
                <w:rFonts w:ascii="Calibri" w:eastAsia="Calibri" w:hAnsi="Calibri" w:cs="Calibri"/>
                <w:sz w:val="24"/>
                <w:szCs w:val="24"/>
              </w:rPr>
              <w:t xml:space="preserve">business leaders in Oakland, stakeholders identified that there are many more small businesses that would be interested in partnering with the OWDB if they were aware of the available services. </w:t>
            </w:r>
            <w:r w:rsidR="008C1D98">
              <w:rPr>
                <w:rFonts w:ascii="Calibri" w:eastAsia="Calibri" w:hAnsi="Calibri" w:cs="Calibri"/>
                <w:sz w:val="24"/>
                <w:szCs w:val="24"/>
              </w:rPr>
              <w:t xml:space="preserve">The OWDB </w:t>
            </w:r>
            <w:r w:rsidR="00FE3A6A">
              <w:rPr>
                <w:rFonts w:ascii="Calibri" w:eastAsia="Calibri" w:hAnsi="Calibri" w:cs="Calibri"/>
                <w:sz w:val="24"/>
                <w:szCs w:val="24"/>
              </w:rPr>
              <w:t>should</w:t>
            </w:r>
            <w:r w:rsidR="008C1D98">
              <w:rPr>
                <w:rFonts w:ascii="Calibri" w:eastAsia="Calibri" w:hAnsi="Calibri" w:cs="Calibri"/>
                <w:sz w:val="24"/>
                <w:szCs w:val="24"/>
              </w:rPr>
              <w:t xml:space="preserve"> increase its outreach and marketing</w:t>
            </w:r>
            <w:r w:rsidR="000A25E2">
              <w:rPr>
                <w:rFonts w:ascii="Calibri" w:eastAsia="Calibri" w:hAnsi="Calibri" w:cs="Calibri"/>
                <w:sz w:val="24"/>
                <w:szCs w:val="24"/>
              </w:rPr>
              <w:t>,</w:t>
            </w:r>
            <w:r w:rsidR="008C1D98">
              <w:rPr>
                <w:rFonts w:ascii="Calibri" w:eastAsia="Calibri" w:hAnsi="Calibri" w:cs="Calibri"/>
                <w:sz w:val="24"/>
                <w:szCs w:val="24"/>
              </w:rPr>
              <w:t xml:space="preserve"> specifically target</w:t>
            </w:r>
            <w:r w:rsidR="000A25E2">
              <w:rPr>
                <w:rFonts w:ascii="Calibri" w:eastAsia="Calibri" w:hAnsi="Calibri" w:cs="Calibri"/>
                <w:sz w:val="24"/>
                <w:szCs w:val="24"/>
              </w:rPr>
              <w:t>ing</w:t>
            </w:r>
            <w:r w:rsidR="008C1D98">
              <w:rPr>
                <w:rFonts w:ascii="Calibri" w:eastAsia="Calibri" w:hAnsi="Calibri" w:cs="Calibri"/>
                <w:sz w:val="24"/>
                <w:szCs w:val="24"/>
              </w:rPr>
              <w:t xml:space="preserve"> Oakland employers to</w:t>
            </w:r>
            <w:r w:rsidR="000A25E2">
              <w:rPr>
                <w:rFonts w:ascii="Calibri" w:eastAsia="Calibri" w:hAnsi="Calibri" w:cs="Calibri"/>
                <w:sz w:val="24"/>
                <w:szCs w:val="24"/>
              </w:rPr>
              <w:t xml:space="preserve"> </w:t>
            </w:r>
            <w:r w:rsidR="0022336F">
              <w:rPr>
                <w:rFonts w:ascii="Calibri" w:eastAsia="Calibri" w:hAnsi="Calibri" w:cs="Calibri"/>
                <w:sz w:val="24"/>
                <w:szCs w:val="24"/>
              </w:rPr>
              <w:t xml:space="preserve">increase </w:t>
            </w:r>
            <w:r w:rsidR="002A7959">
              <w:rPr>
                <w:rFonts w:ascii="Calibri" w:eastAsia="Calibri" w:hAnsi="Calibri" w:cs="Calibri"/>
                <w:sz w:val="24"/>
                <w:szCs w:val="24"/>
              </w:rPr>
              <w:t xml:space="preserve">awareness </w:t>
            </w:r>
            <w:r w:rsidR="00F8771C">
              <w:rPr>
                <w:rFonts w:ascii="Calibri" w:eastAsia="Calibri" w:hAnsi="Calibri" w:cs="Calibri"/>
                <w:sz w:val="24"/>
                <w:szCs w:val="24"/>
              </w:rPr>
              <w:t>of</w:t>
            </w:r>
            <w:r w:rsidR="002A7959">
              <w:rPr>
                <w:rFonts w:ascii="Calibri" w:eastAsia="Calibri" w:hAnsi="Calibri" w:cs="Calibri"/>
                <w:sz w:val="24"/>
                <w:szCs w:val="24"/>
              </w:rPr>
              <w:t xml:space="preserve"> programs and services, and to promote </w:t>
            </w:r>
            <w:r w:rsidR="00F8771C">
              <w:rPr>
                <w:rFonts w:ascii="Calibri" w:eastAsia="Calibri" w:hAnsi="Calibri" w:cs="Calibri"/>
                <w:sz w:val="24"/>
                <w:szCs w:val="24"/>
              </w:rPr>
              <w:t xml:space="preserve">buy-in </w:t>
            </w:r>
            <w:r w:rsidR="00E8172C">
              <w:rPr>
                <w:rFonts w:ascii="Calibri" w:eastAsia="Calibri" w:hAnsi="Calibri" w:cs="Calibri"/>
                <w:sz w:val="24"/>
                <w:szCs w:val="24"/>
              </w:rPr>
              <w:t>around key policy priorities</w:t>
            </w:r>
            <w:r w:rsidR="005E0441">
              <w:rPr>
                <w:rFonts w:ascii="Calibri" w:eastAsia="Calibri" w:hAnsi="Calibri" w:cs="Calibri"/>
                <w:sz w:val="24"/>
                <w:szCs w:val="24"/>
              </w:rPr>
              <w:t>,</w:t>
            </w:r>
            <w:r w:rsidR="00E8172C">
              <w:rPr>
                <w:rFonts w:ascii="Calibri" w:eastAsia="Calibri" w:hAnsi="Calibri" w:cs="Calibri"/>
                <w:sz w:val="24"/>
                <w:szCs w:val="24"/>
              </w:rPr>
              <w:t xml:space="preserve"> including</w:t>
            </w:r>
            <w:r w:rsidR="002A7959">
              <w:rPr>
                <w:rFonts w:ascii="Calibri" w:eastAsia="Calibri" w:hAnsi="Calibri" w:cs="Calibri"/>
                <w:sz w:val="24"/>
                <w:szCs w:val="24"/>
              </w:rPr>
              <w:t xml:space="preserve"> Fair Chance and first source hiring. </w:t>
            </w:r>
          </w:p>
        </w:tc>
      </w:tr>
      <w:tr w:rsidR="00B1722B" w:rsidRPr="00817CC9" w14:paraId="5D04CFAD" w14:textId="77777777" w:rsidTr="00D93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8FC6F08" w14:textId="2C23E3C4" w:rsidR="00B1722B" w:rsidRPr="00543887" w:rsidRDefault="00D93F2E" w:rsidP="00C92439">
            <w:pPr>
              <w:rPr>
                <w:rFonts w:ascii="Calibri" w:eastAsia="Calibri" w:hAnsi="Calibri" w:cs="Calibri"/>
                <w:b w:val="0"/>
                <w:sz w:val="24"/>
                <w:szCs w:val="24"/>
                <w:lang w:val="en"/>
              </w:rPr>
            </w:pPr>
            <w:r w:rsidRPr="00543887">
              <w:rPr>
                <w:rFonts w:ascii="Calibri" w:eastAsia="Calibri" w:hAnsi="Calibri" w:cs="Calibri"/>
                <w:b w:val="0"/>
                <w:sz w:val="24"/>
                <w:szCs w:val="24"/>
                <w:lang w:val="en"/>
              </w:rPr>
              <w:t>Fair Chance Hiring</w:t>
            </w:r>
            <w:r w:rsidR="00B1722B" w:rsidRPr="00543887">
              <w:rPr>
                <w:rFonts w:ascii="Calibri" w:eastAsia="Calibri" w:hAnsi="Calibri" w:cs="Calibri"/>
                <w:b w:val="0"/>
                <w:sz w:val="24"/>
                <w:szCs w:val="24"/>
                <w:lang w:val="en"/>
              </w:rPr>
              <w:t xml:space="preserve"> </w:t>
            </w:r>
          </w:p>
        </w:tc>
        <w:tc>
          <w:tcPr>
            <w:tcW w:w="6925" w:type="dxa"/>
          </w:tcPr>
          <w:p w14:paraId="773C3D33" w14:textId="06C8FE90" w:rsidR="00B1722B" w:rsidRPr="001E0FE9" w:rsidRDefault="00543887" w:rsidP="001E0FE9">
            <w:pPr>
              <w:pStyle w:val="ListParagraph"/>
              <w:numPr>
                <w:ilvl w:val="0"/>
                <w:numId w:val="19"/>
              </w:numPr>
              <w:ind w:left="254" w:hanging="18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rPr>
            </w:pPr>
            <w:r w:rsidRPr="001E0FE9">
              <w:rPr>
                <w:rFonts w:ascii="Calibri" w:eastAsia="Calibri" w:hAnsi="Calibri" w:cs="Calibri"/>
                <w:b/>
                <w:sz w:val="24"/>
                <w:szCs w:val="24"/>
              </w:rPr>
              <w:t>Hold Fair Chance trainings with local employers</w:t>
            </w:r>
            <w:r w:rsidR="0065236A" w:rsidRPr="001E0FE9">
              <w:rPr>
                <w:rFonts w:ascii="Calibri" w:eastAsia="Calibri" w:hAnsi="Calibri" w:cs="Calibri"/>
                <w:b/>
                <w:sz w:val="24"/>
                <w:szCs w:val="24"/>
              </w:rPr>
              <w:t xml:space="preserve"> to promote the hiring of justice-involved individuals</w:t>
            </w:r>
            <w:r w:rsidR="00F53DDD" w:rsidRPr="001E0FE9">
              <w:rPr>
                <w:rFonts w:ascii="Calibri" w:eastAsia="Calibri" w:hAnsi="Calibri" w:cs="Calibri"/>
                <w:b/>
                <w:sz w:val="24"/>
                <w:szCs w:val="24"/>
              </w:rPr>
              <w:t xml:space="preserve">. </w:t>
            </w:r>
            <w:r w:rsidR="0065236A" w:rsidRPr="001E0FE9">
              <w:rPr>
                <w:rFonts w:ascii="Calibri" w:eastAsia="Calibri" w:hAnsi="Calibri" w:cs="Calibri"/>
                <w:sz w:val="24"/>
                <w:szCs w:val="24"/>
              </w:rPr>
              <w:t xml:space="preserve">This strategy recognizes the OWDB as an entity that can both “push” employers toward Fair Chance hiring practices and “pull” justice-involved individuals </w:t>
            </w:r>
            <w:r w:rsidR="0065236A" w:rsidRPr="001E0FE9">
              <w:rPr>
                <w:rFonts w:ascii="Calibri" w:eastAsia="Calibri" w:hAnsi="Calibri" w:cs="Calibri"/>
                <w:sz w:val="24"/>
                <w:szCs w:val="24"/>
              </w:rPr>
              <w:lastRenderedPageBreak/>
              <w:t xml:space="preserve">toward workforce development and training services, in addition to co-located services where they can connect to supportive services to meet other basic needs. </w:t>
            </w:r>
            <w:r w:rsidR="006F187F" w:rsidRPr="001E0FE9">
              <w:rPr>
                <w:rFonts w:ascii="Calibri" w:eastAsia="Calibri" w:hAnsi="Calibri" w:cs="Calibri"/>
                <w:sz w:val="24"/>
                <w:szCs w:val="24"/>
              </w:rPr>
              <w:t xml:space="preserve">As an agency linked to the employer and </w:t>
            </w:r>
            <w:r w:rsidR="000402E0">
              <w:rPr>
                <w:rFonts w:ascii="Calibri" w:eastAsia="Calibri" w:hAnsi="Calibri" w:cs="Calibri"/>
                <w:sz w:val="24"/>
                <w:szCs w:val="24"/>
              </w:rPr>
              <w:t>job seeker</w:t>
            </w:r>
            <w:r w:rsidR="006F187F" w:rsidRPr="001E0FE9">
              <w:rPr>
                <w:rFonts w:ascii="Calibri" w:eastAsia="Calibri" w:hAnsi="Calibri" w:cs="Calibri"/>
                <w:sz w:val="24"/>
                <w:szCs w:val="24"/>
              </w:rPr>
              <w:t xml:space="preserve"> communities alike, t</w:t>
            </w:r>
            <w:r w:rsidR="00E34C59" w:rsidRPr="001E0FE9">
              <w:rPr>
                <w:rFonts w:ascii="Calibri" w:eastAsia="Calibri" w:hAnsi="Calibri" w:cs="Calibri"/>
                <w:sz w:val="24"/>
                <w:szCs w:val="24"/>
              </w:rPr>
              <w:t xml:space="preserve">he OWDB is uniquely positioned to ensure that justice-involved individuals move toward job readiness with available employment pathways. </w:t>
            </w:r>
            <w:r w:rsidR="00D85ACC" w:rsidRPr="001E0FE9">
              <w:rPr>
                <w:rFonts w:ascii="Calibri" w:eastAsia="Calibri" w:hAnsi="Calibri" w:cs="Calibri"/>
                <w:sz w:val="24"/>
                <w:szCs w:val="24"/>
              </w:rPr>
              <w:t xml:space="preserve">This strategy area is to include the following community-sourced </w:t>
            </w:r>
            <w:r w:rsidR="00A33109">
              <w:rPr>
                <w:rFonts w:ascii="Calibri" w:eastAsia="Calibri" w:hAnsi="Calibri" w:cs="Calibri"/>
                <w:sz w:val="24"/>
                <w:szCs w:val="24"/>
              </w:rPr>
              <w:t>sub-</w:t>
            </w:r>
            <w:r w:rsidR="00D85ACC" w:rsidRPr="001E0FE9">
              <w:rPr>
                <w:rFonts w:ascii="Calibri" w:eastAsia="Calibri" w:hAnsi="Calibri" w:cs="Calibri"/>
                <w:sz w:val="24"/>
                <w:szCs w:val="24"/>
              </w:rPr>
              <w:t xml:space="preserve">objectives: </w:t>
            </w:r>
            <w:r w:rsidR="00D85ACC" w:rsidRPr="00F013EC">
              <w:rPr>
                <w:rFonts w:ascii="Calibri" w:eastAsia="Calibri" w:hAnsi="Calibri" w:cs="Calibri"/>
                <w:sz w:val="24"/>
                <w:szCs w:val="24"/>
              </w:rPr>
              <w:t xml:space="preserve">1) </w:t>
            </w:r>
            <w:r w:rsidR="0022336F" w:rsidRPr="00F013EC">
              <w:rPr>
                <w:rFonts w:ascii="Calibri" w:eastAsia="Calibri" w:hAnsi="Calibri" w:cs="Calibri"/>
                <w:sz w:val="24"/>
                <w:szCs w:val="24"/>
              </w:rPr>
              <w:t>The OWDB should partner with organizations that p</w:t>
            </w:r>
            <w:r w:rsidR="003E32A4" w:rsidRPr="00F013EC">
              <w:rPr>
                <w:rFonts w:ascii="Calibri" w:eastAsia="Calibri" w:hAnsi="Calibri" w:cs="Calibri"/>
                <w:sz w:val="24"/>
                <w:szCs w:val="24"/>
              </w:rPr>
              <w:t>rovid</w:t>
            </w:r>
            <w:r w:rsidR="009F19B4" w:rsidRPr="00F013EC">
              <w:rPr>
                <w:rFonts w:ascii="Calibri" w:eastAsia="Calibri" w:hAnsi="Calibri" w:cs="Calibri"/>
                <w:sz w:val="24"/>
                <w:szCs w:val="24"/>
              </w:rPr>
              <w:t>e</w:t>
            </w:r>
            <w:r w:rsidR="003E32A4" w:rsidRPr="00F013EC">
              <w:rPr>
                <w:rFonts w:ascii="Calibri" w:eastAsia="Calibri" w:hAnsi="Calibri" w:cs="Calibri"/>
                <w:sz w:val="24"/>
                <w:szCs w:val="24"/>
              </w:rPr>
              <w:t xml:space="preserve"> record expungement </w:t>
            </w:r>
            <w:r w:rsidR="001E0FE9" w:rsidRPr="00F013EC">
              <w:rPr>
                <w:rFonts w:ascii="Calibri" w:eastAsia="Calibri" w:hAnsi="Calibri" w:cs="Calibri"/>
                <w:sz w:val="24"/>
                <w:szCs w:val="24"/>
              </w:rPr>
              <w:t>and document recovery services</w:t>
            </w:r>
            <w:r w:rsidR="00596E6D" w:rsidRPr="00F013EC">
              <w:rPr>
                <w:rFonts w:ascii="Calibri" w:eastAsia="Calibri" w:hAnsi="Calibri" w:cs="Calibri"/>
                <w:sz w:val="24"/>
                <w:szCs w:val="24"/>
              </w:rPr>
              <w:t xml:space="preserve"> for the justice-involved </w:t>
            </w:r>
            <w:r w:rsidR="00596E6D" w:rsidRPr="008F27A8">
              <w:rPr>
                <w:rFonts w:ascii="Calibri" w:eastAsia="Calibri" w:hAnsi="Calibri" w:cs="Calibri"/>
                <w:sz w:val="24"/>
                <w:szCs w:val="24"/>
              </w:rPr>
              <w:t>population</w:t>
            </w:r>
            <w:r w:rsidR="001E0FE9" w:rsidRPr="008F27A8">
              <w:rPr>
                <w:rFonts w:ascii="Calibri" w:eastAsia="Calibri" w:hAnsi="Calibri" w:cs="Calibri"/>
                <w:sz w:val="24"/>
                <w:szCs w:val="24"/>
              </w:rPr>
              <w:t>;</w:t>
            </w:r>
            <w:r w:rsidR="001E0FE9" w:rsidRPr="001E0FE9">
              <w:rPr>
                <w:rFonts w:ascii="Calibri" w:eastAsia="Calibri" w:hAnsi="Calibri" w:cs="Calibri"/>
                <w:sz w:val="24"/>
                <w:szCs w:val="24"/>
              </w:rPr>
              <w:t xml:space="preserve"> </w:t>
            </w:r>
            <w:r w:rsidR="00DF7773">
              <w:rPr>
                <w:rFonts w:ascii="Calibri" w:eastAsia="Calibri" w:hAnsi="Calibri" w:cs="Calibri"/>
                <w:sz w:val="24"/>
                <w:szCs w:val="24"/>
              </w:rPr>
              <w:t xml:space="preserve">and </w:t>
            </w:r>
            <w:r w:rsidR="001E0FE9" w:rsidRPr="001E0FE9">
              <w:rPr>
                <w:rFonts w:ascii="Calibri" w:eastAsia="Calibri" w:hAnsi="Calibri" w:cs="Calibri"/>
                <w:sz w:val="24"/>
                <w:szCs w:val="24"/>
              </w:rPr>
              <w:t xml:space="preserve">2) </w:t>
            </w:r>
            <w:r w:rsidR="00E709F8">
              <w:rPr>
                <w:rFonts w:ascii="Calibri" w:eastAsia="Calibri" w:hAnsi="Calibri" w:cs="Calibri"/>
                <w:sz w:val="24"/>
                <w:szCs w:val="24"/>
              </w:rPr>
              <w:t>C</w:t>
            </w:r>
            <w:r w:rsidR="001E0FE9" w:rsidRPr="001E0FE9">
              <w:rPr>
                <w:rFonts w:ascii="Calibri" w:eastAsia="Calibri" w:hAnsi="Calibri" w:cs="Calibri"/>
                <w:sz w:val="24"/>
                <w:szCs w:val="24"/>
              </w:rPr>
              <w:t>ommunicate regulatory requirements and tax benefits of hiring people with records</w:t>
            </w:r>
            <w:r w:rsidR="00BD4597">
              <w:rPr>
                <w:rFonts w:ascii="Calibri" w:eastAsia="Calibri" w:hAnsi="Calibri" w:cs="Calibri"/>
                <w:sz w:val="24"/>
              </w:rPr>
              <w:t>.</w:t>
            </w:r>
            <w:r w:rsidR="00F257CB">
              <w:rPr>
                <w:rFonts w:ascii="Calibri" w:eastAsia="Calibri" w:hAnsi="Calibri" w:cs="Calibri"/>
                <w:sz w:val="24"/>
              </w:rPr>
              <w:t xml:space="preserve"> The latter objective will leverage resources shared by partner agencies, including the </w:t>
            </w:r>
            <w:proofErr w:type="spellStart"/>
            <w:r w:rsidR="00F257CB">
              <w:rPr>
                <w:rFonts w:ascii="Calibri" w:eastAsia="Calibri" w:hAnsi="Calibri" w:cs="Calibri"/>
                <w:sz w:val="24"/>
              </w:rPr>
              <w:t>Checkr</w:t>
            </w:r>
            <w:proofErr w:type="spellEnd"/>
            <w:r w:rsidR="00F257CB">
              <w:rPr>
                <w:rFonts w:ascii="Calibri" w:eastAsia="Calibri" w:hAnsi="Calibri" w:cs="Calibri"/>
                <w:sz w:val="24"/>
              </w:rPr>
              <w:t xml:space="preserve"> “How to be a Fair Chance Employer” guidebook.  </w:t>
            </w:r>
          </w:p>
        </w:tc>
      </w:tr>
      <w:tr w:rsidR="00B1722B" w:rsidRPr="00817CC9" w14:paraId="0126E76B" w14:textId="77777777" w:rsidTr="00D93F2E">
        <w:tc>
          <w:tcPr>
            <w:cnfStyle w:val="001000000000" w:firstRow="0" w:lastRow="0" w:firstColumn="1" w:lastColumn="0" w:oddVBand="0" w:evenVBand="0" w:oddHBand="0" w:evenHBand="0" w:firstRowFirstColumn="0" w:firstRowLastColumn="0" w:lastRowFirstColumn="0" w:lastRowLastColumn="0"/>
            <w:tcW w:w="2425" w:type="dxa"/>
          </w:tcPr>
          <w:p w14:paraId="1CA00D52" w14:textId="1D6A20EA" w:rsidR="00B1722B" w:rsidRPr="00817CC9" w:rsidRDefault="001E694B" w:rsidP="00C92439">
            <w:pPr>
              <w:rPr>
                <w:rFonts w:ascii="Calibri" w:eastAsia="Calibri" w:hAnsi="Calibri" w:cs="Calibri"/>
                <w:b w:val="0"/>
                <w:sz w:val="24"/>
                <w:szCs w:val="24"/>
                <w:lang w:val="en"/>
              </w:rPr>
            </w:pPr>
            <w:r>
              <w:rPr>
                <w:rFonts w:ascii="Calibri" w:eastAsia="Calibri" w:hAnsi="Calibri" w:cs="Calibri"/>
                <w:b w:val="0"/>
                <w:sz w:val="24"/>
                <w:szCs w:val="24"/>
                <w:lang w:val="en"/>
              </w:rPr>
              <w:lastRenderedPageBreak/>
              <w:t>First Source Hiring</w:t>
            </w:r>
          </w:p>
        </w:tc>
        <w:tc>
          <w:tcPr>
            <w:tcW w:w="6925" w:type="dxa"/>
          </w:tcPr>
          <w:p w14:paraId="432BC4BA" w14:textId="6C2A2BCC" w:rsidR="00B1722B" w:rsidRPr="00252031" w:rsidRDefault="00252031" w:rsidP="00351A9D">
            <w:pPr>
              <w:pStyle w:val="ListParagraph"/>
              <w:numPr>
                <w:ilvl w:val="0"/>
                <w:numId w:val="19"/>
              </w:numPr>
              <w:ind w:left="254" w:hanging="18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F013EC">
              <w:rPr>
                <w:rFonts w:ascii="Calibri" w:eastAsia="Calibri" w:hAnsi="Calibri" w:cs="Calibri"/>
                <w:b/>
                <w:sz w:val="24"/>
                <w:szCs w:val="24"/>
                <w:lang w:val="en"/>
              </w:rPr>
              <w:t>Perform an environmental scan of regional examples of first source hiring policies in the Bay Area</w:t>
            </w:r>
            <w:r w:rsidR="008A0A12" w:rsidRPr="00F013EC">
              <w:rPr>
                <w:rFonts w:ascii="Calibri" w:eastAsia="Calibri" w:hAnsi="Calibri" w:cs="Calibri"/>
                <w:b/>
                <w:sz w:val="24"/>
                <w:szCs w:val="24"/>
                <w:lang w:val="en"/>
              </w:rPr>
              <w:t xml:space="preserve"> and integrate best practices into a marketing campaign </w:t>
            </w:r>
            <w:r w:rsidR="00F7125F" w:rsidRPr="00F013EC">
              <w:rPr>
                <w:rFonts w:ascii="Calibri" w:eastAsia="Calibri" w:hAnsi="Calibri" w:cs="Calibri"/>
                <w:b/>
                <w:sz w:val="24"/>
                <w:szCs w:val="24"/>
                <w:lang w:val="en"/>
              </w:rPr>
              <w:t>targeting</w:t>
            </w:r>
            <w:r w:rsidR="008A0A12" w:rsidRPr="00F013EC">
              <w:rPr>
                <w:rFonts w:ascii="Calibri" w:eastAsia="Calibri" w:hAnsi="Calibri" w:cs="Calibri"/>
                <w:b/>
                <w:sz w:val="24"/>
                <w:szCs w:val="24"/>
                <w:lang w:val="en"/>
              </w:rPr>
              <w:t xml:space="preserve"> local employers</w:t>
            </w:r>
            <w:r w:rsidRPr="00F013EC">
              <w:rPr>
                <w:rFonts w:ascii="Calibri" w:eastAsia="Calibri" w:hAnsi="Calibri" w:cs="Calibri"/>
                <w:b/>
                <w:sz w:val="24"/>
                <w:szCs w:val="24"/>
                <w:lang w:val="en"/>
              </w:rPr>
              <w:t>.</w:t>
            </w:r>
            <w:r w:rsidRPr="00F013EC">
              <w:rPr>
                <w:rFonts w:ascii="Calibri" w:eastAsia="Calibri" w:hAnsi="Calibri" w:cs="Calibri"/>
                <w:sz w:val="24"/>
                <w:szCs w:val="24"/>
                <w:lang w:val="en"/>
              </w:rPr>
              <w:t xml:space="preserve"> </w:t>
            </w:r>
            <w:r w:rsidR="00531B46" w:rsidRPr="00F013EC">
              <w:rPr>
                <w:rFonts w:ascii="Calibri" w:eastAsia="Calibri" w:hAnsi="Calibri" w:cs="Calibri"/>
                <w:sz w:val="24"/>
                <w:szCs w:val="24"/>
                <w:lang w:val="en"/>
              </w:rPr>
              <w:t>The OWDB</w:t>
            </w:r>
            <w:r w:rsidR="0022336F" w:rsidRPr="00F013EC">
              <w:rPr>
                <w:rFonts w:ascii="Calibri" w:eastAsia="Calibri" w:hAnsi="Calibri" w:cs="Calibri"/>
                <w:sz w:val="24"/>
                <w:szCs w:val="24"/>
                <w:lang w:val="en"/>
              </w:rPr>
              <w:t xml:space="preserve"> would</w:t>
            </w:r>
            <w:r w:rsidR="00531B46" w:rsidRPr="00F013EC">
              <w:rPr>
                <w:rFonts w:ascii="Calibri" w:eastAsia="Calibri" w:hAnsi="Calibri" w:cs="Calibri"/>
                <w:sz w:val="24"/>
                <w:szCs w:val="24"/>
                <w:lang w:val="en"/>
              </w:rPr>
              <w:t xml:space="preserve"> i</w:t>
            </w:r>
            <w:r w:rsidR="00B17F0F" w:rsidRPr="00F013EC">
              <w:rPr>
                <w:rFonts w:ascii="Calibri" w:eastAsia="Calibri" w:hAnsi="Calibri" w:cs="Calibri"/>
                <w:sz w:val="24"/>
                <w:szCs w:val="24"/>
                <w:lang w:val="en"/>
              </w:rPr>
              <w:t>ncorporate findings into an actionable plan to promote first source hiring among Oakland employers</w:t>
            </w:r>
            <w:r w:rsidR="00531B46" w:rsidRPr="00F013EC">
              <w:rPr>
                <w:rFonts w:ascii="Calibri" w:eastAsia="Calibri" w:hAnsi="Calibri" w:cs="Calibri"/>
                <w:sz w:val="24"/>
                <w:szCs w:val="24"/>
                <w:lang w:val="en"/>
              </w:rPr>
              <w:t>, and integrate best practices into ongoing marketing and outreach to Oakland employers and workforce organizations.</w:t>
            </w:r>
            <w:r w:rsidR="00531B46">
              <w:rPr>
                <w:rFonts w:ascii="Calibri" w:eastAsia="Calibri" w:hAnsi="Calibri" w:cs="Calibri"/>
                <w:sz w:val="24"/>
                <w:szCs w:val="24"/>
                <w:lang w:val="en"/>
              </w:rPr>
              <w:t xml:space="preserve"> </w:t>
            </w:r>
          </w:p>
        </w:tc>
      </w:tr>
      <w:tr w:rsidR="0071378A" w:rsidRPr="00817CC9" w14:paraId="40FACF6D" w14:textId="77777777" w:rsidTr="00835A13">
        <w:trPr>
          <w:cnfStyle w:val="000000100000" w:firstRow="0" w:lastRow="0" w:firstColumn="0" w:lastColumn="0" w:oddVBand="0" w:evenVBand="0" w:oddHBand="1" w:evenHBand="0" w:firstRowFirstColumn="0" w:firstRowLastColumn="0" w:lastRowFirstColumn="0" w:lastRowLastColumn="0"/>
          <w:trHeight w:val="3275"/>
        </w:trPr>
        <w:tc>
          <w:tcPr>
            <w:cnfStyle w:val="001000000000" w:firstRow="0" w:lastRow="0" w:firstColumn="1" w:lastColumn="0" w:oddVBand="0" w:evenVBand="0" w:oddHBand="0" w:evenHBand="0" w:firstRowFirstColumn="0" w:firstRowLastColumn="0" w:lastRowFirstColumn="0" w:lastRowLastColumn="0"/>
            <w:tcW w:w="2425" w:type="dxa"/>
          </w:tcPr>
          <w:p w14:paraId="042534DB" w14:textId="2CBF4D66" w:rsidR="0071378A" w:rsidRPr="0071378A" w:rsidRDefault="00B65383" w:rsidP="00C92439">
            <w:pPr>
              <w:rPr>
                <w:rFonts w:ascii="Calibri" w:eastAsia="Calibri" w:hAnsi="Calibri" w:cs="Calibri"/>
                <w:b w:val="0"/>
                <w:sz w:val="24"/>
                <w:szCs w:val="24"/>
                <w:lang w:val="en"/>
              </w:rPr>
            </w:pPr>
            <w:r>
              <w:rPr>
                <w:rFonts w:ascii="Calibri" w:eastAsia="Calibri" w:hAnsi="Calibri" w:cs="Calibri"/>
                <w:b w:val="0"/>
                <w:sz w:val="24"/>
                <w:szCs w:val="24"/>
                <w:lang w:val="en"/>
              </w:rPr>
              <w:t xml:space="preserve">Employment Supports for the Unhoused Population </w:t>
            </w:r>
          </w:p>
        </w:tc>
        <w:tc>
          <w:tcPr>
            <w:tcW w:w="6925" w:type="dxa"/>
          </w:tcPr>
          <w:p w14:paraId="22696956" w14:textId="00895FE4" w:rsidR="0071378A" w:rsidRPr="0071378A" w:rsidRDefault="00057745" w:rsidP="00351A9D">
            <w:pPr>
              <w:pStyle w:val="ListParagraph"/>
              <w:numPr>
                <w:ilvl w:val="0"/>
                <w:numId w:val="19"/>
              </w:numPr>
              <w:ind w:left="254" w:hanging="18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szCs w:val="24"/>
                <w:lang w:val="en"/>
              </w:rPr>
            </w:pPr>
            <w:r>
              <w:rPr>
                <w:rFonts w:ascii="Calibri" w:eastAsia="Calibri" w:hAnsi="Calibri" w:cs="Calibri"/>
                <w:b/>
                <w:sz w:val="24"/>
                <w:szCs w:val="24"/>
                <w:lang w:val="en"/>
              </w:rPr>
              <w:t>Partner</w:t>
            </w:r>
            <w:r w:rsidR="00243C6C">
              <w:rPr>
                <w:rFonts w:ascii="Calibri" w:eastAsia="Calibri" w:hAnsi="Calibri" w:cs="Calibri"/>
                <w:b/>
                <w:sz w:val="24"/>
                <w:szCs w:val="24"/>
                <w:lang w:val="en"/>
              </w:rPr>
              <w:t xml:space="preserve"> with homeless-serving organizations to ensure </w:t>
            </w:r>
            <w:r w:rsidR="00990EB3">
              <w:rPr>
                <w:rFonts w:ascii="Calibri" w:eastAsia="Calibri" w:hAnsi="Calibri" w:cs="Calibri"/>
                <w:b/>
                <w:sz w:val="24"/>
                <w:szCs w:val="24"/>
                <w:lang w:val="en"/>
              </w:rPr>
              <w:t>service delivery</w:t>
            </w:r>
            <w:r w:rsidR="001A11B2">
              <w:rPr>
                <w:rFonts w:ascii="Calibri" w:eastAsia="Calibri" w:hAnsi="Calibri" w:cs="Calibri"/>
                <w:b/>
                <w:sz w:val="24"/>
                <w:szCs w:val="24"/>
                <w:lang w:val="en"/>
              </w:rPr>
              <w:t xml:space="preserve"> reaches</w:t>
            </w:r>
            <w:r w:rsidR="00FD324F">
              <w:rPr>
                <w:rFonts w:ascii="Calibri" w:eastAsia="Calibri" w:hAnsi="Calibri" w:cs="Calibri"/>
                <w:b/>
                <w:sz w:val="24"/>
                <w:szCs w:val="24"/>
                <w:lang w:val="en"/>
              </w:rPr>
              <w:t>,</w:t>
            </w:r>
            <w:r w:rsidR="001A11B2">
              <w:rPr>
                <w:rFonts w:ascii="Calibri" w:eastAsia="Calibri" w:hAnsi="Calibri" w:cs="Calibri"/>
                <w:b/>
                <w:sz w:val="24"/>
                <w:szCs w:val="24"/>
                <w:lang w:val="en"/>
              </w:rPr>
              <w:t xml:space="preserve"> and is accessible to</w:t>
            </w:r>
            <w:r w:rsidR="00FD324F">
              <w:rPr>
                <w:rFonts w:ascii="Calibri" w:eastAsia="Calibri" w:hAnsi="Calibri" w:cs="Calibri"/>
                <w:b/>
                <w:sz w:val="24"/>
                <w:szCs w:val="24"/>
                <w:lang w:val="en"/>
              </w:rPr>
              <w:t>,</w:t>
            </w:r>
            <w:r w:rsidR="003C18F3">
              <w:rPr>
                <w:rFonts w:ascii="Calibri" w:eastAsia="Calibri" w:hAnsi="Calibri" w:cs="Calibri"/>
                <w:b/>
                <w:sz w:val="24"/>
                <w:szCs w:val="24"/>
                <w:lang w:val="en"/>
              </w:rPr>
              <w:t xml:space="preserve"> </w:t>
            </w:r>
            <w:r w:rsidR="00C522DE">
              <w:rPr>
                <w:rFonts w:ascii="Calibri" w:eastAsia="Calibri" w:hAnsi="Calibri" w:cs="Calibri"/>
                <w:b/>
                <w:sz w:val="24"/>
                <w:szCs w:val="24"/>
                <w:lang w:val="en"/>
              </w:rPr>
              <w:t xml:space="preserve">the unhoused population in Oakland. </w:t>
            </w:r>
            <w:r w:rsidR="00420DA3">
              <w:rPr>
                <w:rFonts w:ascii="Calibri" w:eastAsia="Calibri" w:hAnsi="Calibri" w:cs="Calibri"/>
                <w:sz w:val="24"/>
                <w:szCs w:val="24"/>
                <w:lang w:val="en"/>
              </w:rPr>
              <w:t xml:space="preserve">The OWDB </w:t>
            </w:r>
            <w:r w:rsidR="0022336F">
              <w:rPr>
                <w:rFonts w:ascii="Calibri" w:eastAsia="Calibri" w:hAnsi="Calibri" w:cs="Calibri"/>
                <w:sz w:val="24"/>
                <w:szCs w:val="24"/>
                <w:lang w:val="en"/>
              </w:rPr>
              <w:t xml:space="preserve">should </w:t>
            </w:r>
            <w:r w:rsidR="00420DA3">
              <w:rPr>
                <w:rFonts w:ascii="Calibri" w:eastAsia="Calibri" w:hAnsi="Calibri" w:cs="Calibri"/>
                <w:sz w:val="24"/>
                <w:szCs w:val="24"/>
                <w:lang w:val="en"/>
              </w:rPr>
              <w:t xml:space="preserve">integrate </w:t>
            </w:r>
            <w:r w:rsidR="00901F5A">
              <w:rPr>
                <w:rFonts w:ascii="Calibri" w:eastAsia="Calibri" w:hAnsi="Calibri" w:cs="Calibri"/>
                <w:sz w:val="24"/>
                <w:szCs w:val="24"/>
                <w:lang w:val="en"/>
              </w:rPr>
              <w:t xml:space="preserve">targeted </w:t>
            </w:r>
            <w:r w:rsidR="00420DA3">
              <w:rPr>
                <w:rFonts w:ascii="Calibri" w:eastAsia="Calibri" w:hAnsi="Calibri" w:cs="Calibri"/>
                <w:sz w:val="24"/>
                <w:szCs w:val="24"/>
                <w:lang w:val="en"/>
              </w:rPr>
              <w:t xml:space="preserve">outreach to Oakland’s unhoused population across </w:t>
            </w:r>
            <w:r w:rsidR="00901F5A">
              <w:rPr>
                <w:rFonts w:ascii="Calibri" w:eastAsia="Calibri" w:hAnsi="Calibri" w:cs="Calibri"/>
                <w:sz w:val="24"/>
                <w:szCs w:val="24"/>
                <w:lang w:val="en"/>
              </w:rPr>
              <w:t>each</w:t>
            </w:r>
            <w:r w:rsidR="00420DA3">
              <w:rPr>
                <w:rFonts w:ascii="Calibri" w:eastAsia="Calibri" w:hAnsi="Calibri" w:cs="Calibri"/>
                <w:sz w:val="24"/>
                <w:szCs w:val="24"/>
                <w:lang w:val="en"/>
              </w:rPr>
              <w:t xml:space="preserve"> strategy area </w:t>
            </w:r>
            <w:r w:rsidR="007B6714">
              <w:rPr>
                <w:rFonts w:ascii="Calibri" w:eastAsia="Calibri" w:hAnsi="Calibri" w:cs="Calibri"/>
                <w:sz w:val="24"/>
                <w:szCs w:val="24"/>
                <w:lang w:val="en"/>
              </w:rPr>
              <w:t>to</w:t>
            </w:r>
            <w:r w:rsidR="000A39BF">
              <w:rPr>
                <w:rFonts w:ascii="Calibri" w:eastAsia="Calibri" w:hAnsi="Calibri" w:cs="Calibri"/>
                <w:sz w:val="24"/>
                <w:szCs w:val="24"/>
                <w:lang w:val="en"/>
              </w:rPr>
              <w:t xml:space="preserve"> connect individuals with lived or adjacent experiences of homelessness to</w:t>
            </w:r>
            <w:r w:rsidR="003B15DF">
              <w:rPr>
                <w:rFonts w:ascii="Calibri" w:eastAsia="Calibri" w:hAnsi="Calibri" w:cs="Calibri"/>
                <w:sz w:val="24"/>
                <w:szCs w:val="24"/>
                <w:lang w:val="en"/>
              </w:rPr>
              <w:t xml:space="preserve"> workforce development services and supportive services</w:t>
            </w:r>
            <w:r w:rsidR="000A39BF">
              <w:rPr>
                <w:rFonts w:ascii="Calibri" w:eastAsia="Calibri" w:hAnsi="Calibri" w:cs="Calibri"/>
                <w:sz w:val="24"/>
                <w:szCs w:val="24"/>
                <w:lang w:val="en"/>
              </w:rPr>
              <w:t xml:space="preserve">. </w:t>
            </w:r>
            <w:r w:rsidR="00901F5A">
              <w:rPr>
                <w:rFonts w:ascii="Calibri" w:eastAsia="Calibri" w:hAnsi="Calibri" w:cs="Calibri"/>
                <w:sz w:val="24"/>
                <w:szCs w:val="24"/>
                <w:lang w:val="en"/>
              </w:rPr>
              <w:t>In partnership with local homeless-serving community organizations, such as the East Oakland Collective, Ella Baker Center, and ROOTS, the OWDB will</w:t>
            </w:r>
            <w:r w:rsidR="00355470">
              <w:rPr>
                <w:rFonts w:ascii="Calibri" w:eastAsia="Calibri" w:hAnsi="Calibri" w:cs="Calibri"/>
                <w:sz w:val="24"/>
                <w:szCs w:val="24"/>
                <w:lang w:val="en"/>
              </w:rPr>
              <w:t xml:space="preserve"> identify pathways to increase the reach and visibility of its </w:t>
            </w:r>
            <w:r w:rsidR="00901F5A">
              <w:rPr>
                <w:rFonts w:ascii="Calibri" w:eastAsia="Calibri" w:hAnsi="Calibri" w:cs="Calibri"/>
                <w:sz w:val="24"/>
                <w:szCs w:val="24"/>
                <w:lang w:val="en"/>
              </w:rPr>
              <w:t>services and resources</w:t>
            </w:r>
            <w:r w:rsidR="00355470">
              <w:rPr>
                <w:rFonts w:ascii="Calibri" w:eastAsia="Calibri" w:hAnsi="Calibri" w:cs="Calibri"/>
                <w:sz w:val="24"/>
                <w:szCs w:val="24"/>
                <w:lang w:val="en"/>
              </w:rPr>
              <w:t xml:space="preserve"> </w:t>
            </w:r>
            <w:r w:rsidR="007B6714">
              <w:rPr>
                <w:rFonts w:ascii="Calibri" w:eastAsia="Calibri" w:hAnsi="Calibri" w:cs="Calibri"/>
                <w:sz w:val="24"/>
                <w:szCs w:val="24"/>
                <w:lang w:val="en"/>
              </w:rPr>
              <w:t>to</w:t>
            </w:r>
            <w:r w:rsidR="00355470">
              <w:rPr>
                <w:rFonts w:ascii="Calibri" w:eastAsia="Calibri" w:hAnsi="Calibri" w:cs="Calibri"/>
                <w:sz w:val="24"/>
                <w:szCs w:val="24"/>
                <w:lang w:val="en"/>
              </w:rPr>
              <w:t xml:space="preserve"> better serve this population. </w:t>
            </w:r>
          </w:p>
        </w:tc>
      </w:tr>
      <w:tr w:rsidR="004E0590" w:rsidRPr="00817CC9" w14:paraId="5EBB2312" w14:textId="77777777" w:rsidTr="00631F38">
        <w:trPr>
          <w:trHeight w:val="1079"/>
        </w:trPr>
        <w:tc>
          <w:tcPr>
            <w:cnfStyle w:val="001000000000" w:firstRow="0" w:lastRow="0" w:firstColumn="1" w:lastColumn="0" w:oddVBand="0" w:evenVBand="0" w:oddHBand="0" w:evenHBand="0" w:firstRowFirstColumn="0" w:firstRowLastColumn="0" w:lastRowFirstColumn="0" w:lastRowLastColumn="0"/>
            <w:tcW w:w="2425" w:type="dxa"/>
          </w:tcPr>
          <w:p w14:paraId="4A148BDE" w14:textId="0EEBFC80" w:rsidR="004E0590" w:rsidRPr="00A80E3D" w:rsidRDefault="00A80E3D" w:rsidP="00C92439">
            <w:pPr>
              <w:rPr>
                <w:rFonts w:ascii="Calibri" w:eastAsia="Calibri" w:hAnsi="Calibri" w:cs="Calibri"/>
                <w:b w:val="0"/>
                <w:sz w:val="24"/>
                <w:szCs w:val="24"/>
                <w:lang w:val="en"/>
              </w:rPr>
            </w:pPr>
            <w:r>
              <w:rPr>
                <w:rFonts w:ascii="Calibri" w:eastAsia="Calibri" w:hAnsi="Calibri" w:cs="Calibri"/>
                <w:b w:val="0"/>
                <w:sz w:val="24"/>
                <w:szCs w:val="24"/>
                <w:lang w:val="en"/>
              </w:rPr>
              <w:t>Service Co-Location</w:t>
            </w:r>
          </w:p>
        </w:tc>
        <w:tc>
          <w:tcPr>
            <w:tcW w:w="6925" w:type="dxa"/>
          </w:tcPr>
          <w:p w14:paraId="1146A881" w14:textId="71612E5E" w:rsidR="004E0590" w:rsidRPr="00E01181" w:rsidRDefault="00163D83" w:rsidP="00B05C9B">
            <w:pPr>
              <w:pStyle w:val="ListParagraph"/>
              <w:numPr>
                <w:ilvl w:val="0"/>
                <w:numId w:val="37"/>
              </w:num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4"/>
                <w:szCs w:val="24"/>
                <w:lang w:val="en"/>
              </w:rPr>
            </w:pPr>
            <w:r w:rsidRPr="00F013EC">
              <w:rPr>
                <w:rFonts w:ascii="Calibri" w:eastAsia="Calibri" w:hAnsi="Calibri" w:cs="Calibri"/>
                <w:b/>
                <w:sz w:val="24"/>
                <w:szCs w:val="24"/>
                <w:lang w:val="en"/>
              </w:rPr>
              <w:t>Build partnerships with community-based organizations to provide</w:t>
            </w:r>
            <w:r w:rsidR="00A80E3D" w:rsidRPr="00F013EC">
              <w:rPr>
                <w:rFonts w:ascii="Calibri" w:eastAsia="Calibri" w:hAnsi="Calibri" w:cs="Calibri"/>
                <w:b/>
                <w:sz w:val="24"/>
                <w:szCs w:val="24"/>
                <w:lang w:val="en"/>
              </w:rPr>
              <w:t xml:space="preserve"> mobile services, using pop-up spaces (e.g. churches, church parking lots, opportunity zones), </w:t>
            </w:r>
            <w:r w:rsidR="00AD6092" w:rsidRPr="00F013EC">
              <w:rPr>
                <w:rFonts w:ascii="Calibri" w:eastAsia="Calibri" w:hAnsi="Calibri" w:cs="Calibri"/>
                <w:b/>
                <w:sz w:val="24"/>
                <w:szCs w:val="24"/>
                <w:lang w:val="en"/>
              </w:rPr>
              <w:t>to expand availability of</w:t>
            </w:r>
            <w:r w:rsidR="00A80E3D" w:rsidRPr="00F013EC">
              <w:rPr>
                <w:rFonts w:ascii="Calibri" w:eastAsia="Calibri" w:hAnsi="Calibri" w:cs="Calibri"/>
                <w:b/>
                <w:sz w:val="24"/>
                <w:szCs w:val="24"/>
                <w:lang w:val="en"/>
              </w:rPr>
              <w:t xml:space="preserve"> </w:t>
            </w:r>
            <w:r w:rsidR="00AD6092" w:rsidRPr="00F013EC">
              <w:rPr>
                <w:rFonts w:ascii="Calibri" w:eastAsia="Calibri" w:hAnsi="Calibri" w:cs="Calibri"/>
                <w:b/>
                <w:sz w:val="24"/>
                <w:szCs w:val="24"/>
                <w:lang w:val="en"/>
              </w:rPr>
              <w:t xml:space="preserve">service co-location. </w:t>
            </w:r>
            <w:r w:rsidR="00AD6092" w:rsidRPr="00F013EC">
              <w:rPr>
                <w:rFonts w:ascii="Calibri" w:eastAsia="Calibri" w:hAnsi="Calibri" w:cs="Calibri"/>
                <w:sz w:val="24"/>
                <w:szCs w:val="24"/>
                <w:lang w:val="en"/>
              </w:rPr>
              <w:t xml:space="preserve">Core partners and community members alike echoed the value of service co-location in reducing barriers and streamlining service delivery. </w:t>
            </w:r>
            <w:r w:rsidR="00E01181" w:rsidRPr="00F013EC">
              <w:rPr>
                <w:rFonts w:ascii="Calibri" w:eastAsia="Calibri" w:hAnsi="Calibri" w:cs="Calibri"/>
                <w:sz w:val="24"/>
                <w:szCs w:val="24"/>
                <w:lang w:val="en"/>
              </w:rPr>
              <w:t xml:space="preserve">There is a need for service co-location to include both employment and supportive services, i.e. healthcare and benefits/entitlement services. As the OWDB continues to explore what service delivery opportunities will be available </w:t>
            </w:r>
            <w:r w:rsidR="000E13A0" w:rsidRPr="00F013EC">
              <w:rPr>
                <w:rFonts w:ascii="Calibri" w:eastAsia="Calibri" w:hAnsi="Calibri" w:cs="Calibri"/>
                <w:sz w:val="24"/>
                <w:szCs w:val="24"/>
                <w:lang w:val="en"/>
              </w:rPr>
              <w:t>following the rollout of return-to-work and return-to-</w:t>
            </w:r>
            <w:r w:rsidR="000E13A0" w:rsidRPr="00F013EC">
              <w:rPr>
                <w:rFonts w:ascii="Calibri" w:eastAsia="Calibri" w:hAnsi="Calibri" w:cs="Calibri"/>
                <w:sz w:val="24"/>
                <w:szCs w:val="24"/>
                <w:lang w:val="en"/>
              </w:rPr>
              <w:lastRenderedPageBreak/>
              <w:t xml:space="preserve">school policies post-pandemic, </w:t>
            </w:r>
            <w:r w:rsidR="00370D05" w:rsidRPr="00F013EC">
              <w:rPr>
                <w:rFonts w:ascii="Calibri" w:eastAsia="Calibri" w:hAnsi="Calibri" w:cs="Calibri"/>
                <w:sz w:val="24"/>
                <w:szCs w:val="24"/>
                <w:lang w:val="en"/>
              </w:rPr>
              <w:t>it will continue to assess viable co-location opportunities.</w:t>
            </w:r>
            <w:r w:rsidR="00370D05">
              <w:rPr>
                <w:rFonts w:ascii="Calibri" w:eastAsia="Calibri" w:hAnsi="Calibri" w:cs="Calibri"/>
                <w:sz w:val="24"/>
                <w:szCs w:val="24"/>
                <w:lang w:val="en"/>
              </w:rPr>
              <w:t xml:space="preserve"> </w:t>
            </w:r>
          </w:p>
        </w:tc>
      </w:tr>
      <w:tr w:rsidR="004E0590" w:rsidRPr="00817CC9" w14:paraId="41503FD4" w14:textId="77777777" w:rsidTr="00D9032C">
        <w:trPr>
          <w:cnfStyle w:val="000000100000" w:firstRow="0" w:lastRow="0" w:firstColumn="0" w:lastColumn="0" w:oddVBand="0" w:evenVBand="0" w:oddHBand="1" w:evenHBand="0" w:firstRowFirstColumn="0" w:firstRowLastColumn="0" w:lastRowFirstColumn="0" w:lastRowLastColumn="0"/>
          <w:trHeight w:val="2159"/>
        </w:trPr>
        <w:tc>
          <w:tcPr>
            <w:cnfStyle w:val="001000000000" w:firstRow="0" w:lastRow="0" w:firstColumn="1" w:lastColumn="0" w:oddVBand="0" w:evenVBand="0" w:oddHBand="0" w:evenHBand="0" w:firstRowFirstColumn="0" w:firstRowLastColumn="0" w:lastRowFirstColumn="0" w:lastRowLastColumn="0"/>
            <w:tcW w:w="2425" w:type="dxa"/>
          </w:tcPr>
          <w:p w14:paraId="23714159" w14:textId="63B50F2E" w:rsidR="004E0590" w:rsidRPr="00A80E3D" w:rsidRDefault="004E0590" w:rsidP="00C92439">
            <w:pPr>
              <w:rPr>
                <w:rFonts w:ascii="Calibri" w:eastAsia="Calibri" w:hAnsi="Calibri" w:cs="Calibri"/>
                <w:b w:val="0"/>
                <w:sz w:val="24"/>
                <w:szCs w:val="24"/>
                <w:lang w:val="en"/>
              </w:rPr>
            </w:pPr>
            <w:r w:rsidRPr="00A80E3D">
              <w:rPr>
                <w:rFonts w:ascii="Calibri" w:eastAsia="Calibri" w:hAnsi="Calibri" w:cs="Calibri"/>
                <w:b w:val="0"/>
                <w:sz w:val="24"/>
                <w:szCs w:val="24"/>
                <w:lang w:val="en"/>
              </w:rPr>
              <w:lastRenderedPageBreak/>
              <w:t>Data Sharing &amp; Accessibility</w:t>
            </w:r>
          </w:p>
        </w:tc>
        <w:tc>
          <w:tcPr>
            <w:tcW w:w="6925" w:type="dxa"/>
          </w:tcPr>
          <w:p w14:paraId="4AE4A9BB" w14:textId="4C3DA46A" w:rsidR="004E0590" w:rsidRPr="00F013EC" w:rsidRDefault="00B27E5D" w:rsidP="00B05C9B">
            <w:pPr>
              <w:pStyle w:val="ListParagraph"/>
              <w:numPr>
                <w:ilvl w:val="0"/>
                <w:numId w:val="19"/>
              </w:numPr>
              <w:ind w:left="254" w:hanging="180"/>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4"/>
                <w:szCs w:val="24"/>
                <w:lang w:val="en"/>
              </w:rPr>
            </w:pPr>
            <w:r w:rsidRPr="00F013EC">
              <w:rPr>
                <w:rFonts w:ascii="Calibri" w:eastAsia="Calibri" w:hAnsi="Calibri" w:cs="Calibri"/>
                <w:b/>
                <w:sz w:val="24"/>
                <w:lang w:val="en"/>
              </w:rPr>
              <w:t>Enhance</w:t>
            </w:r>
            <w:r w:rsidR="00920F2C" w:rsidRPr="00F013EC">
              <w:rPr>
                <w:rFonts w:ascii="Calibri" w:eastAsia="Calibri" w:hAnsi="Calibri" w:cs="Calibri"/>
                <w:b/>
                <w:sz w:val="24"/>
                <w:szCs w:val="24"/>
                <w:lang w:val="en"/>
              </w:rPr>
              <w:t xml:space="preserve"> opportunities for operationalizing enhanced data sharing infrastructure. </w:t>
            </w:r>
            <w:r w:rsidR="001045D2" w:rsidRPr="00F013EC">
              <w:rPr>
                <w:rFonts w:ascii="Calibri" w:eastAsia="Calibri" w:hAnsi="Calibri" w:cs="Calibri"/>
                <w:sz w:val="24"/>
                <w:szCs w:val="24"/>
                <w:lang w:val="en"/>
              </w:rPr>
              <w:t xml:space="preserve">Core partners and community stakeholders highlighted the importance of </w:t>
            </w:r>
            <w:r w:rsidR="00297F62" w:rsidRPr="00F013EC">
              <w:rPr>
                <w:rFonts w:ascii="Calibri" w:eastAsia="Calibri" w:hAnsi="Calibri" w:cs="Calibri"/>
                <w:sz w:val="24"/>
                <w:szCs w:val="24"/>
                <w:lang w:val="en"/>
              </w:rPr>
              <w:t xml:space="preserve">inter-agency </w:t>
            </w:r>
            <w:r w:rsidR="00B05C9B" w:rsidRPr="00F013EC">
              <w:rPr>
                <w:rFonts w:ascii="Calibri" w:eastAsia="Calibri" w:hAnsi="Calibri" w:cs="Calibri"/>
                <w:sz w:val="24"/>
                <w:szCs w:val="24"/>
                <w:lang w:val="en"/>
              </w:rPr>
              <w:t>data sharing</w:t>
            </w:r>
            <w:r w:rsidR="00297F62" w:rsidRPr="00F013EC">
              <w:rPr>
                <w:rFonts w:ascii="Calibri" w:eastAsia="Calibri" w:hAnsi="Calibri" w:cs="Calibri"/>
                <w:sz w:val="24"/>
                <w:szCs w:val="24"/>
                <w:lang w:val="en"/>
              </w:rPr>
              <w:t xml:space="preserve">. The OWDB </w:t>
            </w:r>
            <w:r w:rsidR="00F013EC" w:rsidRPr="00F013EC">
              <w:rPr>
                <w:rFonts w:ascii="Calibri" w:eastAsia="Calibri" w:hAnsi="Calibri" w:cs="Calibri"/>
                <w:sz w:val="24"/>
                <w:szCs w:val="24"/>
                <w:lang w:val="en"/>
              </w:rPr>
              <w:t>should</w:t>
            </w:r>
            <w:r w:rsidR="00297F62" w:rsidRPr="00F013EC">
              <w:rPr>
                <w:rFonts w:ascii="Calibri" w:eastAsia="Calibri" w:hAnsi="Calibri" w:cs="Calibri"/>
                <w:sz w:val="24"/>
                <w:szCs w:val="24"/>
                <w:lang w:val="en"/>
              </w:rPr>
              <w:t xml:space="preserve"> </w:t>
            </w:r>
            <w:r w:rsidRPr="00F013EC">
              <w:rPr>
                <w:rFonts w:ascii="Calibri" w:eastAsia="Calibri" w:hAnsi="Calibri" w:cs="Calibri"/>
                <w:sz w:val="24"/>
                <w:lang w:val="en"/>
              </w:rPr>
              <w:t>evaluate</w:t>
            </w:r>
            <w:r w:rsidR="00297F62" w:rsidRPr="00F013EC">
              <w:rPr>
                <w:rFonts w:ascii="Calibri" w:eastAsia="Calibri" w:hAnsi="Calibri" w:cs="Calibri"/>
                <w:sz w:val="24"/>
                <w:szCs w:val="24"/>
                <w:lang w:val="en"/>
              </w:rPr>
              <w:t xml:space="preserve"> </w:t>
            </w:r>
            <w:r w:rsidRPr="00F013EC">
              <w:rPr>
                <w:rFonts w:ascii="Calibri" w:eastAsia="Calibri" w:hAnsi="Calibri" w:cs="Calibri"/>
                <w:sz w:val="24"/>
                <w:szCs w:val="24"/>
                <w:lang w:val="en"/>
              </w:rPr>
              <w:t>options</w:t>
            </w:r>
            <w:r w:rsidR="00297F62" w:rsidRPr="00F013EC">
              <w:rPr>
                <w:rFonts w:ascii="Calibri" w:eastAsia="Calibri" w:hAnsi="Calibri" w:cs="Calibri"/>
                <w:sz w:val="24"/>
                <w:szCs w:val="24"/>
                <w:lang w:val="en"/>
              </w:rPr>
              <w:t xml:space="preserve"> to </w:t>
            </w:r>
            <w:r w:rsidRPr="00F013EC">
              <w:rPr>
                <w:rFonts w:ascii="Calibri" w:eastAsia="Calibri" w:hAnsi="Calibri" w:cs="Calibri"/>
                <w:sz w:val="24"/>
                <w:szCs w:val="24"/>
                <w:lang w:val="en"/>
              </w:rPr>
              <w:t>operationalize</w:t>
            </w:r>
            <w:r w:rsidR="00297F62" w:rsidRPr="00F013EC">
              <w:rPr>
                <w:rFonts w:ascii="Calibri" w:eastAsia="Calibri" w:hAnsi="Calibri" w:cs="Calibri"/>
                <w:sz w:val="24"/>
                <w:szCs w:val="24"/>
                <w:lang w:val="en"/>
              </w:rPr>
              <w:t xml:space="preserve"> data sharing, including looking at the feasibility of cloud-based technology and/or Business Associate Agreements (BAA) between agencies serving the same population.</w:t>
            </w:r>
          </w:p>
        </w:tc>
      </w:tr>
    </w:tbl>
    <w:p w14:paraId="08CA3670" w14:textId="29BD57B4" w:rsidR="00533B9C" w:rsidRDefault="00CD2B2C" w:rsidP="005C2D35">
      <w:pPr>
        <w:spacing w:before="240" w:after="120"/>
        <w:rPr>
          <w:rFonts w:ascii="Cambria" w:eastAsia="Calibri" w:hAnsi="Cambria" w:cs="Times New Roman"/>
          <w:b/>
          <w:iCs/>
          <w:color w:val="282626"/>
          <w14:textFill>
            <w14:solidFill>
              <w14:srgbClr w14:val="282626">
                <w14:alpha w14:val="20000"/>
              </w14:srgbClr>
            </w14:solidFill>
          </w14:textFill>
        </w:rPr>
      </w:pPr>
      <w:r>
        <w:rPr>
          <w:rFonts w:ascii="Cambria" w:eastAsia="Calibri" w:hAnsi="Cambria" w:cs="Times New Roman"/>
          <w:b/>
          <w:iCs/>
          <w:color w:val="282626"/>
          <w14:textFill>
            <w14:solidFill>
              <w14:srgbClr w14:val="282626">
                <w14:alpha w14:val="20000"/>
              </w14:srgbClr>
            </w14:solidFill>
          </w14:textFill>
        </w:rPr>
        <w:t xml:space="preserve">Co-Enrollment </w:t>
      </w:r>
      <w:r w:rsidR="0076122D">
        <w:rPr>
          <w:rFonts w:ascii="Cambria" w:eastAsia="Calibri" w:hAnsi="Cambria" w:cs="Times New Roman"/>
          <w:b/>
          <w:iCs/>
          <w:color w:val="282626"/>
          <w14:textFill>
            <w14:solidFill>
              <w14:srgbClr w14:val="282626">
                <w14:alpha w14:val="20000"/>
              </w14:srgbClr>
            </w14:solidFill>
          </w14:textFill>
        </w:rPr>
        <w:t xml:space="preserve">in Career Pathways </w:t>
      </w:r>
      <w:r>
        <w:rPr>
          <w:rFonts w:ascii="Cambria" w:eastAsia="Calibri" w:hAnsi="Cambria" w:cs="Times New Roman"/>
          <w:b/>
          <w:iCs/>
          <w:color w:val="282626"/>
          <w14:textFill>
            <w14:solidFill>
              <w14:srgbClr w14:val="282626">
                <w14:alpha w14:val="20000"/>
              </w14:srgbClr>
            </w14:solidFill>
          </w14:textFill>
        </w:rPr>
        <w:t>&amp; Case Management</w:t>
      </w:r>
      <w:r w:rsidR="0058568D">
        <w:rPr>
          <w:rFonts w:ascii="Cambria" w:eastAsia="Calibri" w:hAnsi="Cambria" w:cs="Times New Roman"/>
          <w:b/>
          <w:iCs/>
          <w:color w:val="282626"/>
          <w14:textFill>
            <w14:solidFill>
              <w14:srgbClr w14:val="282626">
                <w14:alpha w14:val="20000"/>
              </w14:srgbClr>
            </w14:solidFill>
          </w14:textFill>
        </w:rPr>
        <w:t xml:space="preserve"> with AJCC Partners</w:t>
      </w:r>
    </w:p>
    <w:p w14:paraId="0D8778C1" w14:textId="4FEEA2EC" w:rsidR="00CD2B2C" w:rsidRDefault="004A2054" w:rsidP="00F4256D">
      <w:pPr>
        <w:jc w:val="both"/>
      </w:pPr>
      <w:r>
        <w:t>The</w:t>
      </w:r>
      <w:r w:rsidR="00F4256D" w:rsidRPr="00F4256D">
        <w:t xml:space="preserve"> OWDB works in close partnership with its public sector</w:t>
      </w:r>
      <w:r w:rsidR="00F4256D">
        <w:t xml:space="preserve"> </w:t>
      </w:r>
      <w:r w:rsidR="00F4256D" w:rsidRPr="00F4256D">
        <w:t>educational partners – most notably the Oakland Unified School District (which is part of the</w:t>
      </w:r>
      <w:r w:rsidR="00F4256D">
        <w:t xml:space="preserve"> </w:t>
      </w:r>
      <w:r w:rsidR="00F4256D" w:rsidRPr="00F4256D">
        <w:t>Northern Alameda County Adult Education - NACAE) Consortium and the Peralta Community</w:t>
      </w:r>
      <w:r w:rsidR="00F4256D">
        <w:t xml:space="preserve"> </w:t>
      </w:r>
      <w:r w:rsidR="00F4256D" w:rsidRPr="00F4256D">
        <w:t xml:space="preserve">College District (PCCD) – to support career pathway development for older youth and adult </w:t>
      </w:r>
      <w:r w:rsidR="000402E0">
        <w:t>job seeker</w:t>
      </w:r>
      <w:r w:rsidR="00F4256D" w:rsidRPr="00F4256D">
        <w:t>s</w:t>
      </w:r>
      <w:r w:rsidR="00F4256D">
        <w:t xml:space="preserve"> </w:t>
      </w:r>
      <w:r w:rsidR="00F4256D" w:rsidRPr="00F4256D">
        <w:t>and workers.</w:t>
      </w:r>
      <w:r w:rsidR="00F4256D">
        <w:t xml:space="preserve"> </w:t>
      </w:r>
      <w:r w:rsidR="003F7DB7">
        <w:fldChar w:fldCharType="begin"/>
      </w:r>
      <w:r w:rsidR="003F7DB7">
        <w:instrText xml:space="preserve"> REF _Ref66141227 \h </w:instrText>
      </w:r>
      <w:r w:rsidR="003F7DB7">
        <w:fldChar w:fldCharType="separate"/>
      </w:r>
      <w:r w:rsidR="000F6D23" w:rsidRPr="007C1036">
        <w:t xml:space="preserve">Table </w:t>
      </w:r>
      <w:r w:rsidR="000F6D23">
        <w:rPr>
          <w:noProof/>
        </w:rPr>
        <w:t>4</w:t>
      </w:r>
      <w:r w:rsidR="003F7DB7">
        <w:fldChar w:fldCharType="end"/>
      </w:r>
      <w:r w:rsidR="003F7DB7">
        <w:t xml:space="preserve"> below provides</w:t>
      </w:r>
      <w:r w:rsidR="00F4256D" w:rsidRPr="00F4256D">
        <w:t xml:space="preserve"> a high-level overview of some of the major elements of the local network</w:t>
      </w:r>
      <w:r w:rsidR="00F4256D">
        <w:t xml:space="preserve"> </w:t>
      </w:r>
      <w:r w:rsidR="00F4256D" w:rsidRPr="00F4256D">
        <w:t>of career pathway</w:t>
      </w:r>
      <w:r w:rsidR="00F4256D">
        <w:t xml:space="preserve"> </w:t>
      </w:r>
      <w:r w:rsidR="00F4256D" w:rsidRPr="00F4256D">
        <w:t>programs.</w:t>
      </w:r>
    </w:p>
    <w:p w14:paraId="1908FCD5" w14:textId="08D839EB" w:rsidR="007C1036" w:rsidRDefault="007C1036" w:rsidP="00F4256D">
      <w:pPr>
        <w:jc w:val="both"/>
      </w:pPr>
    </w:p>
    <w:p w14:paraId="50375B6F" w14:textId="67A2505A" w:rsidR="007C1036" w:rsidRPr="007C1036" w:rsidRDefault="007C1036" w:rsidP="007C1036">
      <w:pPr>
        <w:pStyle w:val="Caption"/>
        <w:rPr>
          <w:sz w:val="24"/>
        </w:rPr>
      </w:pPr>
      <w:bookmarkStart w:id="3" w:name="_Ref66141227"/>
      <w:r w:rsidRPr="007C1036">
        <w:rPr>
          <w:sz w:val="24"/>
        </w:rPr>
        <w:t xml:space="preserve">Table </w:t>
      </w:r>
      <w:r w:rsidRPr="007C1036">
        <w:rPr>
          <w:sz w:val="24"/>
        </w:rPr>
        <w:fldChar w:fldCharType="begin"/>
      </w:r>
      <w:r w:rsidRPr="007C1036">
        <w:rPr>
          <w:sz w:val="24"/>
        </w:rPr>
        <w:instrText xml:space="preserve"> SEQ Table \* ARABIC </w:instrText>
      </w:r>
      <w:r w:rsidRPr="007C1036">
        <w:rPr>
          <w:sz w:val="24"/>
        </w:rPr>
        <w:fldChar w:fldCharType="separate"/>
      </w:r>
      <w:r w:rsidR="000F6D23">
        <w:rPr>
          <w:noProof/>
          <w:sz w:val="24"/>
        </w:rPr>
        <w:t>4</w:t>
      </w:r>
      <w:r w:rsidRPr="007C1036">
        <w:rPr>
          <w:sz w:val="24"/>
        </w:rPr>
        <w:fldChar w:fldCharType="end"/>
      </w:r>
      <w:bookmarkEnd w:id="3"/>
      <w:r w:rsidRPr="007C1036">
        <w:rPr>
          <w:sz w:val="24"/>
        </w:rPr>
        <w:t xml:space="preserve">. </w:t>
      </w:r>
      <w:r w:rsidR="00AC0FB4">
        <w:rPr>
          <w:sz w:val="24"/>
        </w:rPr>
        <w:t>Career Pathways by Industry Sectors</w:t>
      </w:r>
    </w:p>
    <w:tbl>
      <w:tblPr>
        <w:tblStyle w:val="GridTable4-Accent51"/>
        <w:tblW w:w="0" w:type="auto"/>
        <w:tblLook w:val="04A0" w:firstRow="1" w:lastRow="0" w:firstColumn="1" w:lastColumn="0" w:noHBand="0" w:noVBand="1"/>
      </w:tblPr>
      <w:tblGrid>
        <w:gridCol w:w="2187"/>
        <w:gridCol w:w="3568"/>
        <w:gridCol w:w="3595"/>
      </w:tblGrid>
      <w:tr w:rsidR="009A68B2" w:rsidRPr="00BD2859" w14:paraId="573681A8" w14:textId="5238BF89" w:rsidTr="00580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Merge w:val="restart"/>
          </w:tcPr>
          <w:p w14:paraId="05A67873" w14:textId="77777777" w:rsidR="009A68B2" w:rsidRPr="00E53683" w:rsidRDefault="009A68B2" w:rsidP="00580C9B">
            <w:pPr>
              <w:jc w:val="center"/>
              <w:rPr>
                <w:rFonts w:ascii="Calibri" w:eastAsia="Calibri" w:hAnsi="Calibri" w:cs="Calibri"/>
                <w:b w:val="0"/>
                <w:bCs w:val="0"/>
                <w:sz w:val="24"/>
                <w:szCs w:val="24"/>
                <w:lang w:val="en"/>
              </w:rPr>
            </w:pPr>
            <w:r w:rsidRPr="00E53683">
              <w:rPr>
                <w:rFonts w:ascii="Calibri" w:eastAsia="Calibri" w:hAnsi="Calibri" w:cs="Calibri"/>
                <w:sz w:val="24"/>
                <w:szCs w:val="24"/>
                <w:lang w:val="en"/>
              </w:rPr>
              <w:t>Industry Sector</w:t>
            </w:r>
          </w:p>
          <w:p w14:paraId="34E005D9" w14:textId="5E67806F" w:rsidR="009A68B2" w:rsidRPr="00E53683" w:rsidRDefault="009A68B2" w:rsidP="009A68B2">
            <w:pPr>
              <w:rPr>
                <w:rFonts w:ascii="Calibri" w:eastAsia="Calibri" w:hAnsi="Calibri" w:cs="Calibri"/>
                <w:sz w:val="24"/>
                <w:szCs w:val="24"/>
                <w:lang w:val="en"/>
              </w:rPr>
            </w:pPr>
            <w:r w:rsidRPr="00E53683">
              <w:rPr>
                <w:rFonts w:ascii="Calibri" w:eastAsia="Calibri" w:hAnsi="Calibri" w:cs="Calibri"/>
                <w:b w:val="0"/>
                <w:sz w:val="24"/>
                <w:szCs w:val="24"/>
                <w:lang w:val="en"/>
              </w:rPr>
              <w:t xml:space="preserve"> </w:t>
            </w:r>
          </w:p>
        </w:tc>
        <w:tc>
          <w:tcPr>
            <w:tcW w:w="7163" w:type="dxa"/>
            <w:gridSpan w:val="2"/>
          </w:tcPr>
          <w:p w14:paraId="6618DCE2" w14:textId="1EF67838" w:rsidR="009A68B2" w:rsidRPr="00E53683" w:rsidRDefault="009A68B2" w:rsidP="00580C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Career Pathway</w:t>
            </w:r>
          </w:p>
        </w:tc>
      </w:tr>
      <w:tr w:rsidR="009A68B2" w:rsidRPr="00BD2859" w14:paraId="7453A1F8" w14:textId="62DEBC71" w:rsidTr="008B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Merge/>
          </w:tcPr>
          <w:p w14:paraId="6E39ED84" w14:textId="431E8A25" w:rsidR="009A68B2" w:rsidRPr="00E53683" w:rsidRDefault="009A68B2" w:rsidP="009A68B2">
            <w:pPr>
              <w:rPr>
                <w:rFonts w:ascii="Calibri" w:eastAsia="Calibri" w:hAnsi="Calibri" w:cs="Calibri"/>
                <w:b w:val="0"/>
                <w:sz w:val="24"/>
                <w:szCs w:val="24"/>
                <w:lang w:val="en"/>
              </w:rPr>
            </w:pPr>
          </w:p>
        </w:tc>
        <w:tc>
          <w:tcPr>
            <w:tcW w:w="3568" w:type="dxa"/>
          </w:tcPr>
          <w:p w14:paraId="3F59D52B" w14:textId="512CD723" w:rsidR="009A68B2" w:rsidRPr="00E53683" w:rsidRDefault="009A68B2" w:rsidP="009A68B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sz w:val="24"/>
                <w:szCs w:val="24"/>
              </w:rPr>
              <w:t>NACAE (Bridge Programs)</w:t>
            </w:r>
            <w:r w:rsidRPr="00E53683">
              <w:rPr>
                <w:rStyle w:val="FootnoteReference"/>
                <w:sz w:val="24"/>
                <w:szCs w:val="24"/>
              </w:rPr>
              <w:footnoteReference w:id="1"/>
            </w:r>
          </w:p>
        </w:tc>
        <w:tc>
          <w:tcPr>
            <w:tcW w:w="3595" w:type="dxa"/>
          </w:tcPr>
          <w:p w14:paraId="15F01BF0" w14:textId="0D7344DA" w:rsidR="009A68B2" w:rsidRPr="00E53683" w:rsidRDefault="009A68B2" w:rsidP="009A68B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sz w:val="24"/>
                <w:szCs w:val="24"/>
              </w:rPr>
              <w:t>PCCCD CTE Programs</w:t>
            </w:r>
            <w:r w:rsidRPr="00E53683">
              <w:rPr>
                <w:rStyle w:val="FootnoteReference"/>
                <w:sz w:val="24"/>
                <w:szCs w:val="24"/>
              </w:rPr>
              <w:footnoteReference w:id="2"/>
            </w:r>
          </w:p>
        </w:tc>
      </w:tr>
      <w:tr w:rsidR="009A68B2" w:rsidRPr="00BD2859" w14:paraId="5A17AD42" w14:textId="376C7458" w:rsidTr="008B4301">
        <w:tc>
          <w:tcPr>
            <w:cnfStyle w:val="001000000000" w:firstRow="0" w:lastRow="0" w:firstColumn="1" w:lastColumn="0" w:oddVBand="0" w:evenVBand="0" w:oddHBand="0" w:evenHBand="0" w:firstRowFirstColumn="0" w:firstRowLastColumn="0" w:lastRowFirstColumn="0" w:lastRowLastColumn="0"/>
            <w:tcW w:w="2187" w:type="dxa"/>
          </w:tcPr>
          <w:p w14:paraId="42CFBACF" w14:textId="77777777" w:rsidR="00681E7F" w:rsidRPr="00E53683" w:rsidRDefault="00681E7F" w:rsidP="00681E7F">
            <w:pPr>
              <w:rPr>
                <w:rFonts w:ascii="Calibri" w:eastAsia="Calibri" w:hAnsi="Calibri" w:cs="Calibri"/>
                <w:b w:val="0"/>
                <w:sz w:val="24"/>
                <w:szCs w:val="24"/>
                <w:lang w:val="en"/>
              </w:rPr>
            </w:pPr>
            <w:r w:rsidRPr="00E53683">
              <w:rPr>
                <w:rFonts w:ascii="Calibri" w:eastAsia="Calibri" w:hAnsi="Calibri" w:cs="Calibri"/>
                <w:b w:val="0"/>
                <w:sz w:val="24"/>
                <w:szCs w:val="24"/>
                <w:lang w:val="en"/>
              </w:rPr>
              <w:t>Advanced</w:t>
            </w:r>
          </w:p>
          <w:p w14:paraId="47798EA5" w14:textId="363E63A1" w:rsidR="009A68B2" w:rsidRPr="00E53683" w:rsidRDefault="00681E7F" w:rsidP="00681E7F">
            <w:pPr>
              <w:rPr>
                <w:rFonts w:ascii="Calibri" w:eastAsia="Calibri" w:hAnsi="Calibri" w:cs="Calibri"/>
                <w:b w:val="0"/>
                <w:sz w:val="24"/>
                <w:szCs w:val="24"/>
                <w:lang w:val="en"/>
              </w:rPr>
            </w:pPr>
            <w:r w:rsidRPr="00E53683">
              <w:rPr>
                <w:rFonts w:ascii="Calibri" w:eastAsia="Calibri" w:hAnsi="Calibri" w:cs="Calibri"/>
                <w:b w:val="0"/>
                <w:sz w:val="24"/>
                <w:szCs w:val="24"/>
                <w:lang w:val="en"/>
              </w:rPr>
              <w:t>Manufacturing</w:t>
            </w:r>
          </w:p>
        </w:tc>
        <w:tc>
          <w:tcPr>
            <w:tcW w:w="3568" w:type="dxa"/>
          </w:tcPr>
          <w:p w14:paraId="28A6FC81" w14:textId="77777777" w:rsidR="00F25547"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Instrumentation &amp; Control Tech.</w:t>
            </w:r>
          </w:p>
          <w:p w14:paraId="1D622AFB" w14:textId="2843FC10" w:rsidR="009A68B2"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Machine Technology</w:t>
            </w:r>
          </w:p>
        </w:tc>
        <w:tc>
          <w:tcPr>
            <w:tcW w:w="3595" w:type="dxa"/>
          </w:tcPr>
          <w:p w14:paraId="3A60E7B6" w14:textId="77777777" w:rsidR="00F25547"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Engineering, Design, and</w:t>
            </w:r>
          </w:p>
          <w:p w14:paraId="56B8299C" w14:textId="32A6136D" w:rsidR="009A68B2"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Production</w:t>
            </w:r>
          </w:p>
        </w:tc>
      </w:tr>
      <w:tr w:rsidR="009A68B2" w:rsidRPr="00BD2859" w14:paraId="635558E2" w14:textId="7221371C" w:rsidTr="008B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595EA128" w14:textId="4B4CF376" w:rsidR="009A68B2" w:rsidRPr="00E53683" w:rsidRDefault="00681E7F" w:rsidP="00580C9B">
            <w:pPr>
              <w:rPr>
                <w:rFonts w:ascii="Calibri" w:eastAsia="Calibri" w:hAnsi="Calibri" w:cs="Calibri"/>
                <w:b w:val="0"/>
                <w:sz w:val="24"/>
                <w:szCs w:val="24"/>
                <w:lang w:val="en"/>
              </w:rPr>
            </w:pPr>
            <w:r w:rsidRPr="00E53683">
              <w:rPr>
                <w:rFonts w:ascii="Calibri" w:eastAsia="Calibri" w:hAnsi="Calibri" w:cs="Calibri"/>
                <w:b w:val="0"/>
                <w:sz w:val="24"/>
                <w:szCs w:val="24"/>
                <w:lang w:val="en"/>
              </w:rPr>
              <w:t>Construction</w:t>
            </w:r>
          </w:p>
        </w:tc>
        <w:tc>
          <w:tcPr>
            <w:tcW w:w="3568" w:type="dxa"/>
          </w:tcPr>
          <w:p w14:paraId="1E594FC1" w14:textId="1B7EFDB1" w:rsidR="009A68B2" w:rsidRPr="00E53683" w:rsidRDefault="00F25547" w:rsidP="00580C9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 xml:space="preserve">Bridge to Skilled Trades </w:t>
            </w:r>
          </w:p>
        </w:tc>
        <w:tc>
          <w:tcPr>
            <w:tcW w:w="3595" w:type="dxa"/>
          </w:tcPr>
          <w:p w14:paraId="7F4C2D85" w14:textId="71D7259F" w:rsidR="009A68B2" w:rsidRPr="00E53683" w:rsidRDefault="00F25547" w:rsidP="00580C9B">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Building &amp; Construction Trades</w:t>
            </w:r>
          </w:p>
        </w:tc>
      </w:tr>
      <w:tr w:rsidR="009A68B2" w:rsidRPr="00BD2859" w14:paraId="2ADD2195" w14:textId="287B4D5D" w:rsidTr="008B4301">
        <w:tc>
          <w:tcPr>
            <w:cnfStyle w:val="001000000000" w:firstRow="0" w:lastRow="0" w:firstColumn="1" w:lastColumn="0" w:oddVBand="0" w:evenVBand="0" w:oddHBand="0" w:evenHBand="0" w:firstRowFirstColumn="0" w:firstRowLastColumn="0" w:lastRowFirstColumn="0" w:lastRowLastColumn="0"/>
            <w:tcW w:w="2187" w:type="dxa"/>
          </w:tcPr>
          <w:p w14:paraId="5C3FB1AA" w14:textId="664126E3" w:rsidR="009A68B2" w:rsidRPr="00E53683" w:rsidRDefault="00681E7F" w:rsidP="00580C9B">
            <w:pPr>
              <w:rPr>
                <w:rFonts w:ascii="Calibri" w:eastAsia="Calibri" w:hAnsi="Calibri" w:cs="Calibri"/>
                <w:b w:val="0"/>
                <w:sz w:val="24"/>
                <w:szCs w:val="24"/>
                <w:lang w:val="en"/>
              </w:rPr>
            </w:pPr>
            <w:r w:rsidRPr="00E53683">
              <w:rPr>
                <w:rFonts w:ascii="Calibri" w:eastAsia="Calibri" w:hAnsi="Calibri" w:cs="Calibri"/>
                <w:b w:val="0"/>
                <w:sz w:val="24"/>
                <w:szCs w:val="24"/>
                <w:lang w:val="en"/>
              </w:rPr>
              <w:t>Government</w:t>
            </w:r>
            <w:r w:rsidR="009A68B2" w:rsidRPr="00E53683">
              <w:rPr>
                <w:rFonts w:ascii="Calibri" w:eastAsia="Calibri" w:hAnsi="Calibri" w:cs="Calibri"/>
                <w:b w:val="0"/>
                <w:sz w:val="24"/>
                <w:szCs w:val="24"/>
                <w:lang w:val="en"/>
              </w:rPr>
              <w:t xml:space="preserve"> </w:t>
            </w:r>
          </w:p>
        </w:tc>
        <w:tc>
          <w:tcPr>
            <w:tcW w:w="3568" w:type="dxa"/>
          </w:tcPr>
          <w:p w14:paraId="057534F8" w14:textId="77777777" w:rsidR="00F25547"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Early Childhood Education</w:t>
            </w:r>
          </w:p>
          <w:p w14:paraId="7C7DBB46" w14:textId="77777777" w:rsidR="00F25547"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(ECE)</w:t>
            </w:r>
          </w:p>
          <w:p w14:paraId="128F9F40" w14:textId="30044175" w:rsidR="009A68B2"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Public &amp; Human Services</w:t>
            </w:r>
          </w:p>
        </w:tc>
        <w:tc>
          <w:tcPr>
            <w:tcW w:w="3595" w:type="dxa"/>
          </w:tcPr>
          <w:p w14:paraId="30B437CA" w14:textId="77777777" w:rsidR="00F25547"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Public &amp; Human Services</w:t>
            </w:r>
          </w:p>
          <w:p w14:paraId="1D53C0FA" w14:textId="0CCD034C" w:rsidR="009A68B2" w:rsidRPr="00E53683" w:rsidRDefault="00F25547" w:rsidP="00F2554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Public Service &amp; Law</w:t>
            </w:r>
          </w:p>
        </w:tc>
      </w:tr>
      <w:tr w:rsidR="009A68B2" w:rsidRPr="00BD2859" w14:paraId="5184D5F7" w14:textId="311F08A5" w:rsidTr="008B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005E27FA" w14:textId="0631A98E" w:rsidR="009A68B2" w:rsidRPr="00E53683" w:rsidRDefault="00681E7F" w:rsidP="00580C9B">
            <w:pPr>
              <w:rPr>
                <w:rFonts w:ascii="Calibri" w:eastAsia="Calibri" w:hAnsi="Calibri" w:cs="Calibri"/>
                <w:b w:val="0"/>
                <w:sz w:val="24"/>
                <w:szCs w:val="24"/>
                <w:lang w:val="en"/>
              </w:rPr>
            </w:pPr>
            <w:r w:rsidRPr="00E53683">
              <w:rPr>
                <w:rFonts w:ascii="Calibri" w:eastAsia="Calibri" w:hAnsi="Calibri" w:cs="Calibri"/>
                <w:b w:val="0"/>
                <w:sz w:val="24"/>
                <w:szCs w:val="24"/>
                <w:lang w:val="en"/>
              </w:rPr>
              <w:t>Healthcare</w:t>
            </w:r>
            <w:r w:rsidR="009A68B2" w:rsidRPr="00E53683">
              <w:rPr>
                <w:rFonts w:ascii="Calibri" w:eastAsia="Calibri" w:hAnsi="Calibri" w:cs="Calibri"/>
                <w:b w:val="0"/>
                <w:sz w:val="24"/>
                <w:szCs w:val="24"/>
                <w:lang w:val="en"/>
              </w:rPr>
              <w:t xml:space="preserve"> </w:t>
            </w:r>
          </w:p>
        </w:tc>
        <w:tc>
          <w:tcPr>
            <w:tcW w:w="3568" w:type="dxa"/>
          </w:tcPr>
          <w:p w14:paraId="373042F1" w14:textId="24C95F6C" w:rsidR="009A68B2" w:rsidRPr="00E53683" w:rsidRDefault="00BF525D" w:rsidP="00BF52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Biotechnology</w:t>
            </w:r>
          </w:p>
        </w:tc>
        <w:tc>
          <w:tcPr>
            <w:tcW w:w="3595" w:type="dxa"/>
          </w:tcPr>
          <w:p w14:paraId="34E699E0" w14:textId="21A506B6" w:rsidR="00BF525D" w:rsidRPr="00E53683" w:rsidRDefault="00BF525D" w:rsidP="00BF52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Environment &amp; Sustainability</w:t>
            </w:r>
          </w:p>
          <w:p w14:paraId="0E9B62E8" w14:textId="0DA9EB76" w:rsidR="009A68B2" w:rsidRPr="00E53683" w:rsidRDefault="00BF525D" w:rsidP="00BF525D">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Healthcare &amp; Bioscience</w:t>
            </w:r>
          </w:p>
        </w:tc>
      </w:tr>
      <w:tr w:rsidR="009A68B2" w:rsidRPr="00BD2859" w14:paraId="6D7CD36C" w14:textId="7A2E2443" w:rsidTr="008B4301">
        <w:tc>
          <w:tcPr>
            <w:cnfStyle w:val="001000000000" w:firstRow="0" w:lastRow="0" w:firstColumn="1" w:lastColumn="0" w:oddVBand="0" w:evenVBand="0" w:oddHBand="0" w:evenHBand="0" w:firstRowFirstColumn="0" w:firstRowLastColumn="0" w:lastRowFirstColumn="0" w:lastRowLastColumn="0"/>
            <w:tcW w:w="2187" w:type="dxa"/>
          </w:tcPr>
          <w:p w14:paraId="701158B8" w14:textId="66304808" w:rsidR="009A68B2" w:rsidRPr="00E53683" w:rsidRDefault="00681E7F" w:rsidP="00580C9B">
            <w:pPr>
              <w:rPr>
                <w:b w:val="0"/>
                <w:sz w:val="24"/>
                <w:szCs w:val="24"/>
              </w:rPr>
            </w:pPr>
            <w:r w:rsidRPr="00E53683">
              <w:rPr>
                <w:b w:val="0"/>
                <w:sz w:val="24"/>
                <w:szCs w:val="24"/>
              </w:rPr>
              <w:t>Hospitality, Leisure, and Retail</w:t>
            </w:r>
          </w:p>
        </w:tc>
        <w:tc>
          <w:tcPr>
            <w:tcW w:w="3568" w:type="dxa"/>
          </w:tcPr>
          <w:p w14:paraId="5F690DBC" w14:textId="67B9D4BE" w:rsidR="008B4301" w:rsidRPr="00E53683" w:rsidRDefault="008B4301" w:rsidP="008B430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 xml:space="preserve">Culinary Arts </w:t>
            </w:r>
          </w:p>
          <w:p w14:paraId="64856B93" w14:textId="3B0E2281" w:rsidR="009A68B2" w:rsidRPr="00E53683" w:rsidRDefault="009A68B2" w:rsidP="008B430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p>
        </w:tc>
        <w:tc>
          <w:tcPr>
            <w:tcW w:w="3595" w:type="dxa"/>
          </w:tcPr>
          <w:p w14:paraId="5F23659F" w14:textId="77777777" w:rsidR="008B4301" w:rsidRPr="00E53683" w:rsidRDefault="008B4301" w:rsidP="008B430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Hospitality, Retail &amp; Tourism</w:t>
            </w:r>
          </w:p>
          <w:p w14:paraId="57321134" w14:textId="6BFE747A" w:rsidR="009A68B2" w:rsidRPr="00E53683" w:rsidRDefault="008B4301" w:rsidP="008B430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Personal Services</w:t>
            </w:r>
          </w:p>
        </w:tc>
      </w:tr>
      <w:tr w:rsidR="009A68B2" w:rsidRPr="00BD2859" w14:paraId="173D6077" w14:textId="36CAE344" w:rsidTr="008B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151A8FDD" w14:textId="77777777" w:rsidR="00681E7F" w:rsidRPr="00E53683" w:rsidRDefault="00681E7F" w:rsidP="00681E7F">
            <w:pPr>
              <w:rPr>
                <w:rFonts w:ascii="Calibri" w:eastAsia="Calibri" w:hAnsi="Calibri" w:cs="Calibri"/>
                <w:b w:val="0"/>
                <w:sz w:val="24"/>
                <w:szCs w:val="24"/>
                <w:lang w:val="en"/>
              </w:rPr>
            </w:pPr>
            <w:r w:rsidRPr="00E53683">
              <w:rPr>
                <w:rFonts w:ascii="Calibri" w:eastAsia="Calibri" w:hAnsi="Calibri" w:cs="Calibri"/>
                <w:b w:val="0"/>
                <w:sz w:val="24"/>
                <w:szCs w:val="24"/>
                <w:lang w:val="en"/>
              </w:rPr>
              <w:t>Information</w:t>
            </w:r>
          </w:p>
          <w:p w14:paraId="370DD3D3" w14:textId="77777777" w:rsidR="00681E7F" w:rsidRPr="00E53683" w:rsidRDefault="00681E7F" w:rsidP="00681E7F">
            <w:pPr>
              <w:rPr>
                <w:rFonts w:ascii="Calibri" w:eastAsia="Calibri" w:hAnsi="Calibri" w:cs="Calibri"/>
                <w:b w:val="0"/>
                <w:sz w:val="24"/>
                <w:szCs w:val="24"/>
                <w:lang w:val="en"/>
              </w:rPr>
            </w:pPr>
            <w:r w:rsidRPr="00E53683">
              <w:rPr>
                <w:rFonts w:ascii="Calibri" w:eastAsia="Calibri" w:hAnsi="Calibri" w:cs="Calibri"/>
                <w:b w:val="0"/>
                <w:sz w:val="24"/>
                <w:szCs w:val="24"/>
                <w:lang w:val="en"/>
              </w:rPr>
              <w:t>Communication</w:t>
            </w:r>
          </w:p>
          <w:p w14:paraId="68C7BB16" w14:textId="28840485" w:rsidR="009A68B2" w:rsidRPr="00E53683" w:rsidRDefault="00681E7F" w:rsidP="00681E7F">
            <w:pPr>
              <w:rPr>
                <w:rFonts w:ascii="Calibri" w:eastAsia="Calibri" w:hAnsi="Calibri" w:cs="Calibri"/>
                <w:b w:val="0"/>
                <w:sz w:val="24"/>
                <w:szCs w:val="24"/>
                <w:lang w:val="en"/>
              </w:rPr>
            </w:pPr>
            <w:r w:rsidRPr="00E53683">
              <w:rPr>
                <w:rFonts w:ascii="Calibri" w:eastAsia="Calibri" w:hAnsi="Calibri" w:cs="Calibri"/>
                <w:b w:val="0"/>
                <w:sz w:val="24"/>
                <w:szCs w:val="24"/>
                <w:lang w:val="en"/>
              </w:rPr>
              <w:t>Technology</w:t>
            </w:r>
          </w:p>
        </w:tc>
        <w:tc>
          <w:tcPr>
            <w:tcW w:w="3568" w:type="dxa"/>
          </w:tcPr>
          <w:p w14:paraId="041FE560" w14:textId="77777777" w:rsidR="008B4301" w:rsidRPr="00E53683" w:rsidRDefault="008B4301"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Media</w:t>
            </w:r>
          </w:p>
          <w:p w14:paraId="56AF4D0B" w14:textId="77777777" w:rsidR="008B4301" w:rsidRPr="00E53683" w:rsidRDefault="008B4301"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Office Skills</w:t>
            </w:r>
          </w:p>
          <w:p w14:paraId="516127B6" w14:textId="2B5EF2EE" w:rsidR="009A68B2" w:rsidRPr="00E53683" w:rsidRDefault="009A68B2"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p>
        </w:tc>
        <w:tc>
          <w:tcPr>
            <w:tcW w:w="3595" w:type="dxa"/>
          </w:tcPr>
          <w:p w14:paraId="749A5FC3" w14:textId="77777777" w:rsidR="008B4301" w:rsidRPr="00E53683" w:rsidRDefault="008B4301"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Business &amp; Entrepreneurship</w:t>
            </w:r>
          </w:p>
          <w:p w14:paraId="6158AABB" w14:textId="612BEA70" w:rsidR="008B4301" w:rsidRPr="00E53683" w:rsidRDefault="008B4301"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Digital Media &amp; Communication</w:t>
            </w:r>
          </w:p>
          <w:p w14:paraId="219AC18B" w14:textId="77777777" w:rsidR="008B4301" w:rsidRPr="00E53683" w:rsidRDefault="008B4301"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E53683">
              <w:rPr>
                <w:rFonts w:ascii="Calibri" w:eastAsia="Calibri" w:hAnsi="Calibri" w:cs="Calibri"/>
                <w:sz w:val="24"/>
                <w:szCs w:val="24"/>
                <w:lang w:val="en"/>
              </w:rPr>
              <w:t>Information &amp; Communication</w:t>
            </w:r>
          </w:p>
          <w:p w14:paraId="207D6658" w14:textId="48FFC3C4" w:rsidR="009A68B2" w:rsidRPr="00E53683" w:rsidRDefault="008B4301" w:rsidP="008B430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en"/>
              </w:rPr>
            </w:pPr>
            <w:r w:rsidRPr="00E53683">
              <w:rPr>
                <w:rFonts w:ascii="Calibri" w:eastAsia="Calibri" w:hAnsi="Calibri" w:cs="Calibri"/>
                <w:sz w:val="24"/>
                <w:szCs w:val="24"/>
                <w:lang w:val="en"/>
              </w:rPr>
              <w:t>Technology</w:t>
            </w:r>
          </w:p>
        </w:tc>
      </w:tr>
      <w:tr w:rsidR="008B4301" w:rsidRPr="00BD2859" w14:paraId="1E7A8F57" w14:textId="05CC121E" w:rsidTr="008B4301">
        <w:trPr>
          <w:trHeight w:val="665"/>
        </w:trPr>
        <w:tc>
          <w:tcPr>
            <w:cnfStyle w:val="001000000000" w:firstRow="0" w:lastRow="0" w:firstColumn="1" w:lastColumn="0" w:oddVBand="0" w:evenVBand="0" w:oddHBand="0" w:evenHBand="0" w:firstRowFirstColumn="0" w:firstRowLastColumn="0" w:lastRowFirstColumn="0" w:lastRowLastColumn="0"/>
            <w:tcW w:w="2187" w:type="dxa"/>
          </w:tcPr>
          <w:p w14:paraId="509AB8C8" w14:textId="25DFF9C0" w:rsidR="008B4301" w:rsidRPr="00E53683" w:rsidRDefault="008B4301" w:rsidP="008B4301">
            <w:pPr>
              <w:rPr>
                <w:rFonts w:ascii="Calibri" w:eastAsia="Calibri" w:hAnsi="Calibri" w:cs="Calibri"/>
                <w:b w:val="0"/>
                <w:sz w:val="24"/>
                <w:szCs w:val="24"/>
                <w:lang w:val="en"/>
              </w:rPr>
            </w:pPr>
            <w:r w:rsidRPr="00E53683">
              <w:rPr>
                <w:rFonts w:ascii="Calibri" w:eastAsia="Calibri" w:hAnsi="Calibri" w:cs="Calibri"/>
                <w:b w:val="0"/>
                <w:sz w:val="24"/>
                <w:szCs w:val="24"/>
                <w:lang w:val="en"/>
              </w:rPr>
              <w:t>Transportation &amp; Logistics</w:t>
            </w:r>
          </w:p>
        </w:tc>
        <w:tc>
          <w:tcPr>
            <w:tcW w:w="3568" w:type="dxa"/>
          </w:tcPr>
          <w:p w14:paraId="5AAF9F2E" w14:textId="75C7F157" w:rsidR="008B4301" w:rsidRPr="00E53683" w:rsidRDefault="008B4301" w:rsidP="008B430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sz w:val="24"/>
                <w:szCs w:val="24"/>
              </w:rPr>
              <w:t xml:space="preserve">Maritime/Logistics </w:t>
            </w:r>
          </w:p>
        </w:tc>
        <w:tc>
          <w:tcPr>
            <w:tcW w:w="3595" w:type="dxa"/>
          </w:tcPr>
          <w:p w14:paraId="00DFBBB4" w14:textId="12827C96" w:rsidR="008B4301" w:rsidRPr="00E53683" w:rsidRDefault="008B4301" w:rsidP="008B430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E53683">
              <w:rPr>
                <w:sz w:val="24"/>
                <w:szCs w:val="24"/>
              </w:rPr>
              <w:t>Transportation &amp; Logistics</w:t>
            </w:r>
          </w:p>
        </w:tc>
      </w:tr>
    </w:tbl>
    <w:p w14:paraId="6467DD15" w14:textId="77777777" w:rsidR="00A91181" w:rsidRDefault="00A91181" w:rsidP="00385C16">
      <w:pPr>
        <w:jc w:val="both"/>
        <w:rPr>
          <w:b/>
        </w:rPr>
      </w:pPr>
    </w:p>
    <w:p w14:paraId="26BB6C63" w14:textId="7931D351" w:rsidR="00385C16" w:rsidRDefault="00385C16" w:rsidP="00385C16">
      <w:pPr>
        <w:jc w:val="both"/>
      </w:pPr>
      <w:r>
        <w:t>In addition to the aforementioned career pathway efforts for older youth and adult job seekers and workers, the OWDB is also working to support the development and expansion of career pathway opportunities for youth in partnership with the Oakland Unified School District (OUSD), which was one of the original six (6) Linked Learning</w:t>
      </w:r>
      <w:r w:rsidR="00B77251">
        <w:t xml:space="preserve"> </w:t>
      </w:r>
      <w:r>
        <w:t xml:space="preserve">districts in the State of California. Finally, in addition to its ongoing work with OUSD and PCCD, the OWDB has been serving as an important partner </w:t>
      </w:r>
      <w:r w:rsidR="005F3876">
        <w:t>with the following:</w:t>
      </w:r>
    </w:p>
    <w:p w14:paraId="61D9FF3F" w14:textId="77777777" w:rsidR="00050A3F" w:rsidRPr="00385C16" w:rsidRDefault="00050A3F" w:rsidP="00385C16">
      <w:pPr>
        <w:jc w:val="both"/>
      </w:pPr>
    </w:p>
    <w:p w14:paraId="79D24CC5" w14:textId="333E1AB4" w:rsidR="00050A3F" w:rsidRDefault="006528D9" w:rsidP="00050A3F">
      <w:pPr>
        <w:pStyle w:val="NormalWeb"/>
        <w:shd w:val="clear" w:color="auto" w:fill="FFFFFF"/>
        <w:spacing w:before="0" w:beforeAutospacing="0" w:after="0" w:afterAutospacing="0"/>
        <w:rPr>
          <w:rFonts w:ascii="Calibri" w:hAnsi="Calibri"/>
          <w:color w:val="201F1E"/>
          <w:sz w:val="22"/>
          <w:szCs w:val="22"/>
        </w:rPr>
      </w:pPr>
      <w:r w:rsidRPr="005F3876">
        <w:rPr>
          <w:rStyle w:val="Emphasis"/>
          <w:rFonts w:asciiTheme="minorHAnsi" w:hAnsiTheme="minorHAnsi"/>
          <w:b/>
          <w:bCs/>
          <w:spacing w:val="6"/>
          <w:shd w:val="clear" w:color="auto" w:fill="FFFFFF"/>
        </w:rPr>
        <w:t>The Alameda County Health Pathway Partnership</w:t>
      </w:r>
      <w:r w:rsidRPr="005F3876">
        <w:rPr>
          <w:rStyle w:val="Emphasis"/>
          <w:rFonts w:asciiTheme="minorHAnsi" w:hAnsiTheme="minorHAnsi"/>
          <w:spacing w:val="6"/>
          <w:shd w:val="clear" w:color="auto" w:fill="FFFFFF"/>
        </w:rPr>
        <w:t> </w:t>
      </w:r>
      <w:r w:rsidRPr="005F3876">
        <w:rPr>
          <w:rFonts w:asciiTheme="minorHAnsi" w:hAnsiTheme="minorHAnsi"/>
          <w:spacing w:val="6"/>
          <w:shd w:val="clear" w:color="auto" w:fill="FFFFFF"/>
        </w:rPr>
        <w:t xml:space="preserve">(ACHPP) is a consortium of pathway programs and organizations that aim to increase the diversity of the healthcare workforce by providing mentorship, academic enrichment, leadership development, and career exposure to disadvantaged and minority youth. The OWDB is a </w:t>
      </w:r>
      <w:r w:rsidR="00050A3F" w:rsidRPr="005F3876">
        <w:rPr>
          <w:rFonts w:asciiTheme="minorHAnsi" w:hAnsiTheme="minorHAnsi"/>
          <w:spacing w:val="6"/>
          <w:shd w:val="clear" w:color="auto" w:fill="FFFFFF"/>
        </w:rPr>
        <w:t>partner on</w:t>
      </w:r>
      <w:r w:rsidRPr="005F3876">
        <w:rPr>
          <w:rFonts w:asciiTheme="minorHAnsi" w:hAnsiTheme="minorHAnsi"/>
          <w:spacing w:val="6"/>
          <w:shd w:val="clear" w:color="auto" w:fill="FFFFFF"/>
        </w:rPr>
        <w:t xml:space="preserve"> the A</w:t>
      </w:r>
      <w:r w:rsidRPr="005F3876">
        <w:rPr>
          <w:rFonts w:asciiTheme="minorHAnsi" w:hAnsiTheme="minorHAnsi"/>
          <w:b/>
          <w:bCs/>
          <w:color w:val="201F1E"/>
        </w:rPr>
        <w:t xml:space="preserve">lameda County Health Coach Apprenticeship </w:t>
      </w:r>
      <w:r w:rsidR="00050A3F" w:rsidRPr="005F3876">
        <w:rPr>
          <w:rFonts w:asciiTheme="minorHAnsi" w:hAnsiTheme="minorHAnsi"/>
          <w:b/>
          <w:bCs/>
          <w:color w:val="201F1E"/>
        </w:rPr>
        <w:t xml:space="preserve">Program </w:t>
      </w:r>
      <w:r w:rsidR="00050A3F" w:rsidRPr="005F3876">
        <w:rPr>
          <w:rFonts w:asciiTheme="minorHAnsi" w:hAnsiTheme="minorHAnsi"/>
          <w:color w:val="201F1E"/>
        </w:rPr>
        <w:t>that</w:t>
      </w:r>
      <w:r w:rsidRPr="005F3876">
        <w:rPr>
          <w:rFonts w:asciiTheme="minorHAnsi" w:hAnsiTheme="minorHAnsi"/>
          <w:b/>
          <w:bCs/>
          <w:color w:val="201F1E"/>
        </w:rPr>
        <w:t xml:space="preserve"> </w:t>
      </w:r>
      <w:r w:rsidRPr="005F3876">
        <w:rPr>
          <w:rFonts w:asciiTheme="minorHAnsi" w:hAnsiTheme="minorHAnsi"/>
          <w:color w:val="201F1E"/>
        </w:rPr>
        <w:t xml:space="preserve">aims to improve the health of community members by pairing them with culturally sensitive Transitional Aged Youth Community Health Workers. </w:t>
      </w:r>
      <w:r w:rsidR="00050A3F" w:rsidRPr="005F3876">
        <w:rPr>
          <w:rFonts w:asciiTheme="minorHAnsi" w:hAnsiTheme="minorHAnsi"/>
          <w:color w:val="201F1E"/>
        </w:rPr>
        <w:t>The goal</w:t>
      </w:r>
      <w:r w:rsidRPr="005F3876">
        <w:rPr>
          <w:rFonts w:asciiTheme="minorHAnsi" w:hAnsiTheme="minorHAnsi"/>
          <w:color w:val="201F1E"/>
        </w:rPr>
        <w:t xml:space="preserve"> is to provide a workforce development program for young adults to gain skills and access to vertical health careers while improving access, self- </w:t>
      </w:r>
      <w:r w:rsidR="005F3876" w:rsidRPr="005F3876">
        <w:rPr>
          <w:rFonts w:asciiTheme="minorHAnsi" w:hAnsiTheme="minorHAnsi"/>
          <w:color w:val="201F1E"/>
        </w:rPr>
        <w:t>empowerment,</w:t>
      </w:r>
      <w:r w:rsidRPr="005F3876">
        <w:rPr>
          <w:rFonts w:asciiTheme="minorHAnsi" w:hAnsiTheme="minorHAnsi"/>
          <w:color w:val="201F1E"/>
        </w:rPr>
        <w:t xml:space="preserve"> and self-management of chronic diseases in underserved communities.</w:t>
      </w:r>
      <w:r>
        <w:rPr>
          <w:rFonts w:ascii="Calibri" w:hAnsi="Calibri"/>
          <w:color w:val="201F1E"/>
          <w:sz w:val="22"/>
          <w:szCs w:val="22"/>
        </w:rPr>
        <w:t> </w:t>
      </w:r>
    </w:p>
    <w:p w14:paraId="5555F87F" w14:textId="6551703C" w:rsidR="005F3876" w:rsidRDefault="00385C16" w:rsidP="0024322A">
      <w:pPr>
        <w:pStyle w:val="NormalWeb"/>
        <w:rPr>
          <w:rFonts w:asciiTheme="minorHAnsi" w:hAnsiTheme="minorHAnsi"/>
          <w:color w:val="000000"/>
        </w:rPr>
      </w:pPr>
      <w:r w:rsidRPr="005F3876">
        <w:rPr>
          <w:rFonts w:asciiTheme="minorHAnsi" w:hAnsiTheme="minorHAnsi"/>
          <w:b/>
          <w:bCs/>
        </w:rPr>
        <w:t>The Alameda County Office of Education (ACOE) Project Pathways</w:t>
      </w:r>
      <w:r w:rsidRPr="005F3876">
        <w:rPr>
          <w:rFonts w:asciiTheme="minorHAnsi" w:hAnsiTheme="minorHAnsi"/>
        </w:rPr>
        <w:t xml:space="preserve"> project (is a regional, two-county (East Bay) project that seeks to develop pathways to college and careers for disconnected youth between the ages of 16-24 in areas including education, building trades, and hospitality </w:t>
      </w:r>
      <w:r w:rsidR="00675001" w:rsidRPr="005F3876">
        <w:rPr>
          <w:rFonts w:asciiTheme="minorHAnsi" w:hAnsiTheme="minorHAnsi"/>
        </w:rPr>
        <w:t>and tourism</w:t>
      </w:r>
      <w:r w:rsidRPr="005F3876">
        <w:rPr>
          <w:rFonts w:asciiTheme="minorHAnsi" w:hAnsiTheme="minorHAnsi"/>
        </w:rPr>
        <w:t>.</w:t>
      </w:r>
      <w:r w:rsidR="0024322A" w:rsidRPr="005F3876">
        <w:rPr>
          <w:rFonts w:asciiTheme="minorHAnsi" w:hAnsiTheme="minorHAnsi"/>
          <w:color w:val="000000"/>
        </w:rPr>
        <w:t xml:space="preserve"> The </w:t>
      </w:r>
      <w:r w:rsidR="005F3876" w:rsidRPr="005F3876">
        <w:rPr>
          <w:rFonts w:asciiTheme="minorHAnsi" w:hAnsiTheme="minorHAnsi"/>
          <w:color w:val="000000"/>
        </w:rPr>
        <w:t xml:space="preserve">OWDB participates in the </w:t>
      </w:r>
      <w:r w:rsidR="0024322A" w:rsidRPr="005F3876">
        <w:rPr>
          <w:rFonts w:asciiTheme="minorHAnsi" w:hAnsiTheme="minorHAnsi"/>
          <w:b/>
          <w:bCs/>
          <w:color w:val="000000"/>
        </w:rPr>
        <w:t>K12 S</w:t>
      </w:r>
      <w:r w:rsidR="005F3876" w:rsidRPr="005F3876">
        <w:rPr>
          <w:rFonts w:asciiTheme="minorHAnsi" w:hAnsiTheme="minorHAnsi"/>
          <w:b/>
          <w:bCs/>
          <w:color w:val="000000"/>
        </w:rPr>
        <w:t xml:space="preserve">trong Workforce </w:t>
      </w:r>
      <w:r w:rsidR="0024322A" w:rsidRPr="005F3876">
        <w:rPr>
          <w:rFonts w:asciiTheme="minorHAnsi" w:hAnsiTheme="minorHAnsi"/>
          <w:b/>
          <w:bCs/>
          <w:color w:val="000000"/>
        </w:rPr>
        <w:t>P</w:t>
      </w:r>
      <w:r w:rsidR="005F3876" w:rsidRPr="005F3876">
        <w:rPr>
          <w:rFonts w:asciiTheme="minorHAnsi" w:hAnsiTheme="minorHAnsi"/>
          <w:b/>
          <w:bCs/>
          <w:color w:val="000000"/>
        </w:rPr>
        <w:t>rogram</w:t>
      </w:r>
      <w:r w:rsidR="005F3876" w:rsidRPr="005F3876">
        <w:rPr>
          <w:rFonts w:asciiTheme="minorHAnsi" w:hAnsiTheme="minorHAnsi"/>
          <w:color w:val="000000"/>
        </w:rPr>
        <w:t xml:space="preserve"> </w:t>
      </w:r>
      <w:r w:rsidR="0024322A" w:rsidRPr="005F3876">
        <w:rPr>
          <w:rFonts w:asciiTheme="minorHAnsi" w:hAnsiTheme="minorHAnsi"/>
          <w:color w:val="000000"/>
        </w:rPr>
        <w:t xml:space="preserve">initiatives being led by ACOE </w:t>
      </w:r>
      <w:r w:rsidR="005F3876" w:rsidRPr="005F3876">
        <w:rPr>
          <w:rFonts w:asciiTheme="minorHAnsi" w:hAnsiTheme="minorHAnsi"/>
          <w:color w:val="000000"/>
        </w:rPr>
        <w:t>that builds</w:t>
      </w:r>
      <w:r w:rsidR="0024322A" w:rsidRPr="005F3876">
        <w:rPr>
          <w:rFonts w:asciiTheme="minorHAnsi" w:hAnsiTheme="minorHAnsi"/>
          <w:color w:val="000000"/>
        </w:rPr>
        <w:t xml:space="preserve"> </w:t>
      </w:r>
      <w:r w:rsidR="005F3876" w:rsidRPr="005F3876">
        <w:rPr>
          <w:rFonts w:asciiTheme="minorHAnsi" w:hAnsiTheme="minorHAnsi"/>
          <w:color w:val="000000"/>
        </w:rPr>
        <w:t xml:space="preserve">on </w:t>
      </w:r>
      <w:r w:rsidR="0024322A" w:rsidRPr="005F3876">
        <w:rPr>
          <w:rFonts w:asciiTheme="minorHAnsi" w:hAnsiTheme="minorHAnsi"/>
          <w:color w:val="000000"/>
        </w:rPr>
        <w:t>CTE college and career pathway programs for students in alternative education schools and other schools with predominantly underserved student populations</w:t>
      </w:r>
      <w:r w:rsidR="005F3876" w:rsidRPr="005F3876">
        <w:rPr>
          <w:rFonts w:asciiTheme="minorHAnsi" w:hAnsiTheme="minorHAnsi"/>
          <w:color w:val="000000"/>
        </w:rPr>
        <w:t>. The pathways are aligned with the priorities and occupational growth projections in the Bay Area’s regional economy.</w:t>
      </w:r>
    </w:p>
    <w:p w14:paraId="1B285218" w14:textId="406B724B" w:rsidR="002215E5" w:rsidRPr="00A44EB6" w:rsidRDefault="00A44EB6" w:rsidP="002F07D6">
      <w:pPr>
        <w:jc w:val="both"/>
      </w:pPr>
      <w:r>
        <w:t xml:space="preserve">The OWDB facilitates co-enrollment </w:t>
      </w:r>
      <w:r w:rsidR="002F07D6">
        <w:t xml:space="preserve">across program areas while striving for more coordinated case management between agencies. A large part of case management coordination is informed by systematic data tracking. </w:t>
      </w:r>
      <w:r w:rsidR="00AC56BA" w:rsidRPr="00204A54">
        <w:rPr>
          <w:rFonts w:eastAsia="Times New Roman" w:cstheme="minorHAnsi"/>
        </w:rPr>
        <w:t xml:space="preserve">In accordance with state policy and guidelines, the OWDB utilizes </w:t>
      </w:r>
      <w:proofErr w:type="spellStart"/>
      <w:r w:rsidR="00AC56BA" w:rsidRPr="00204A54">
        <w:rPr>
          <w:rFonts w:eastAsia="Times New Roman" w:cstheme="minorHAnsi"/>
        </w:rPr>
        <w:t>CalJOBS</w:t>
      </w:r>
      <w:proofErr w:type="spellEnd"/>
      <w:r w:rsidR="00AC56BA" w:rsidRPr="00204A54">
        <w:rPr>
          <w:rFonts w:eastAsia="Times New Roman" w:cstheme="minorHAnsi"/>
        </w:rPr>
        <w:t xml:space="preserve"> to track services for job seekers accessing workforce development services in the local area. The OWDB continually works to find ways to improve the coordination of services for mutual customers who are accessing adult education and family literacy services, Wagner-Peyser Act services, and Vocational Rehabilitation services. </w:t>
      </w:r>
    </w:p>
    <w:p w14:paraId="216BC2FA" w14:textId="77777777" w:rsidR="002215E5" w:rsidRDefault="002215E5" w:rsidP="00AC56BA">
      <w:pPr>
        <w:jc w:val="both"/>
        <w:rPr>
          <w:rFonts w:eastAsia="Times New Roman" w:cstheme="minorHAnsi"/>
        </w:rPr>
      </w:pPr>
    </w:p>
    <w:p w14:paraId="59D35CBB" w14:textId="0A7B0CE5" w:rsidR="00AC56BA" w:rsidRPr="00AC56BA" w:rsidRDefault="00AC56BA" w:rsidP="00AC56BA">
      <w:pPr>
        <w:jc w:val="both"/>
        <w:rPr>
          <w:rFonts w:eastAsia="Times New Roman" w:cstheme="minorHAnsi"/>
        </w:rPr>
      </w:pPr>
      <w:r w:rsidRPr="005F3876">
        <w:rPr>
          <w:rFonts w:eastAsia="Times New Roman" w:cstheme="minorHAnsi"/>
        </w:rPr>
        <w:t xml:space="preserve">Additionally, where appropriate the </w:t>
      </w:r>
      <w:r w:rsidR="00467189" w:rsidRPr="005F3876">
        <w:rPr>
          <w:rFonts w:eastAsia="Times New Roman" w:cstheme="minorHAnsi"/>
        </w:rPr>
        <w:t>AJCCs</w:t>
      </w:r>
      <w:r w:rsidRPr="005F3876">
        <w:rPr>
          <w:rFonts w:eastAsia="Times New Roman" w:cstheme="minorHAnsi"/>
        </w:rPr>
        <w:t xml:space="preserve"> co-enroll eligible youth into programs and services in the local WIOA-funded adult system, particularly for participants who are pursuing sector-specific training and other related career development services. Most of the service alignment efforts revolve around the use of assessment and other employment readiness tools and services, as well as efforts to coordinate skill development activities. Additionally, it should be noted that in situations where local workers have been impacted by a dislocation event tied to the Trade Adjustment Act (TAA), the OWDB works with its contracted WIOA Adult and Dislocated Worker service providers around the provision and coordination of Rapid Response services.</w:t>
      </w:r>
    </w:p>
    <w:p w14:paraId="7250DE09" w14:textId="7EE4CABA" w:rsidR="00EC7D55" w:rsidRPr="00955224" w:rsidRDefault="00EC7D55" w:rsidP="00AC56BA">
      <w:pPr>
        <w:spacing w:before="240" w:after="120"/>
        <w:rPr>
          <w:rFonts w:ascii="Cambria" w:eastAsia="Calibri" w:hAnsi="Cambria" w:cs="Times New Roman"/>
          <w:b/>
          <w:iCs/>
          <w:color w:val="282626"/>
          <w14:textFill>
            <w14:solidFill>
              <w14:srgbClr w14:val="282626">
                <w14:alpha w14:val="20000"/>
              </w14:srgbClr>
            </w14:solidFill>
          </w14:textFill>
        </w:rPr>
      </w:pPr>
      <w:r w:rsidRPr="00AC56BA">
        <w:rPr>
          <w:rFonts w:ascii="Cambria" w:eastAsia="Calibri" w:hAnsi="Cambria" w:cs="Times New Roman"/>
          <w:b/>
          <w:iCs/>
          <w:color w:val="282626"/>
          <w14:textFill>
            <w14:solidFill>
              <w14:srgbClr w14:val="282626">
                <w14:alpha w14:val="20000"/>
              </w14:srgbClr>
            </w14:solidFill>
          </w14:textFill>
        </w:rPr>
        <w:lastRenderedPageBreak/>
        <w:t>Facilitating Access to One-Stop Services</w:t>
      </w:r>
    </w:p>
    <w:p w14:paraId="6DFB7FAE" w14:textId="115BA9A5" w:rsidR="00080D7E" w:rsidRDefault="00467189" w:rsidP="00080D7E">
      <w:pPr>
        <w:jc w:val="both"/>
      </w:pPr>
      <w:r w:rsidRPr="00467189">
        <w:t>The OWDB funds the operations of three (3) A</w:t>
      </w:r>
      <w:r>
        <w:t xml:space="preserve">merica’s </w:t>
      </w:r>
      <w:r w:rsidRPr="00467189">
        <w:t>J</w:t>
      </w:r>
      <w:r>
        <w:t xml:space="preserve">ob </w:t>
      </w:r>
      <w:r w:rsidRPr="00467189">
        <w:t>C</w:t>
      </w:r>
      <w:r>
        <w:t xml:space="preserve">enter of </w:t>
      </w:r>
      <w:r w:rsidRPr="00467189">
        <w:t>C</w:t>
      </w:r>
      <w:r>
        <w:t>alifornia (AJCC)</w:t>
      </w:r>
      <w:r w:rsidRPr="00467189">
        <w:t xml:space="preserve"> in zip codes with the highest unemployment that also have a large population of Black and Latinx residents. These centers </w:t>
      </w:r>
      <w:r w:rsidR="006A132B" w:rsidRPr="00467189">
        <w:t>are in</w:t>
      </w:r>
      <w:r w:rsidRPr="00467189">
        <w:t xml:space="preserve"> East Oakland, the Fruitvale area and West Oakland. </w:t>
      </w:r>
      <w:r w:rsidR="00080D7E" w:rsidRPr="00467189">
        <w:t>The Comprehensive One-Stop Career Center</w:t>
      </w:r>
      <w:r w:rsidRPr="00467189">
        <w:t xml:space="preserve"> </w:t>
      </w:r>
      <w:r w:rsidR="006A132B" w:rsidRPr="00467189">
        <w:t>is located</w:t>
      </w:r>
      <w:r w:rsidRPr="00467189">
        <w:t xml:space="preserve"> at the </w:t>
      </w:r>
      <w:r w:rsidR="00BC0B9B" w:rsidRPr="00467189">
        <w:t xml:space="preserve">West </w:t>
      </w:r>
      <w:r w:rsidR="00080D7E" w:rsidRPr="00467189">
        <w:t xml:space="preserve">Oakland </w:t>
      </w:r>
      <w:r w:rsidR="006A132B">
        <w:t xml:space="preserve">site </w:t>
      </w:r>
      <w:r w:rsidRPr="00467189">
        <w:t>which also operates a satellite office near the Lake Merritt area. Each of the AJCCs</w:t>
      </w:r>
      <w:r w:rsidR="00080D7E" w:rsidRPr="00467189">
        <w:t xml:space="preserve"> provides WIOA Title I funded services to adult job seekers and workers. These locations provide career development resources, including the posting of employment opportunities; some skills assessments; occupational and labor market information; career coaching; referrals to supportive services and training programs; and a variety of other services and are conveniently accessible because they are situated where many of the OWDB’s priority populations reside. In addition to these sites, the California Employment Development Department (EDD) operates an affiliate AJCC site in East Oakland near the </w:t>
      </w:r>
      <w:r w:rsidRPr="00467189">
        <w:t xml:space="preserve">Oakland </w:t>
      </w:r>
      <w:r w:rsidR="00080D7E" w:rsidRPr="00467189">
        <w:t xml:space="preserve">Coliseum, which is the only site within city limits that provides in-person Wagner-Peyser, Unemployment Insurance, and Disability Insurance services. </w:t>
      </w:r>
    </w:p>
    <w:p w14:paraId="0487E3CE" w14:textId="6C3B0689" w:rsidR="00C733DB" w:rsidRDefault="00C733DB" w:rsidP="00080D7E">
      <w:pPr>
        <w:jc w:val="both"/>
      </w:pPr>
    </w:p>
    <w:p w14:paraId="64C6F8A8" w14:textId="3075C2A5" w:rsidR="00C733DB" w:rsidRPr="00C733DB" w:rsidRDefault="00C733DB" w:rsidP="00C733DB">
      <w:pPr>
        <w:autoSpaceDE w:val="0"/>
        <w:autoSpaceDN w:val="0"/>
        <w:adjustRightInd w:val="0"/>
        <w:rPr>
          <w:rFonts w:cstheme="minorHAnsi"/>
          <w:color w:val="000000"/>
        </w:rPr>
      </w:pPr>
      <w:r w:rsidRPr="00C733DB">
        <w:rPr>
          <w:rFonts w:cstheme="minorHAnsi"/>
          <w:color w:val="000000"/>
        </w:rPr>
        <w:t>In addition to the aforementioned WIOA-funded services for job seekers and</w:t>
      </w:r>
      <w:r>
        <w:rPr>
          <w:rFonts w:cstheme="minorHAnsi"/>
          <w:color w:val="000000"/>
        </w:rPr>
        <w:t xml:space="preserve"> </w:t>
      </w:r>
      <w:r w:rsidRPr="00C733DB">
        <w:rPr>
          <w:rFonts w:cstheme="minorHAnsi"/>
          <w:color w:val="000000"/>
        </w:rPr>
        <w:t>workers, the OWDB also is helping to lead a few other initiatives to further support the</w:t>
      </w:r>
    </w:p>
    <w:p w14:paraId="403E2CA8" w14:textId="062AB808" w:rsidR="00C733DB" w:rsidRDefault="00C733DB" w:rsidP="00C733DB">
      <w:pPr>
        <w:autoSpaceDE w:val="0"/>
        <w:autoSpaceDN w:val="0"/>
        <w:adjustRightInd w:val="0"/>
        <w:rPr>
          <w:rFonts w:cstheme="minorHAnsi"/>
          <w:color w:val="000000"/>
        </w:rPr>
      </w:pPr>
      <w:r w:rsidRPr="00C733DB">
        <w:rPr>
          <w:rFonts w:cstheme="minorHAnsi"/>
          <w:color w:val="000000"/>
        </w:rPr>
        <w:t>development of the local workforce system.</w:t>
      </w:r>
    </w:p>
    <w:p w14:paraId="2FE2CAD2" w14:textId="77777777" w:rsidR="00C733DB" w:rsidRPr="00C733DB" w:rsidRDefault="00C733DB" w:rsidP="00C733DB">
      <w:pPr>
        <w:autoSpaceDE w:val="0"/>
        <w:autoSpaceDN w:val="0"/>
        <w:adjustRightInd w:val="0"/>
        <w:rPr>
          <w:rFonts w:cstheme="minorHAnsi"/>
          <w:color w:val="000000"/>
        </w:rPr>
      </w:pPr>
    </w:p>
    <w:p w14:paraId="2C440AE4" w14:textId="3CA7C043" w:rsidR="00C733DB" w:rsidRPr="0039285A" w:rsidRDefault="00C733DB" w:rsidP="00C733DB">
      <w:pPr>
        <w:pStyle w:val="ListParagraph"/>
        <w:numPr>
          <w:ilvl w:val="0"/>
          <w:numId w:val="39"/>
        </w:numPr>
        <w:autoSpaceDE w:val="0"/>
        <w:autoSpaceDN w:val="0"/>
        <w:adjustRightInd w:val="0"/>
        <w:rPr>
          <w:rFonts w:cstheme="minorHAnsi"/>
          <w:color w:val="000000"/>
          <w:sz w:val="24"/>
        </w:rPr>
      </w:pPr>
      <w:r w:rsidRPr="0039285A">
        <w:rPr>
          <w:rFonts w:cstheme="minorHAnsi"/>
          <w:i/>
          <w:iCs/>
          <w:color w:val="000000"/>
          <w:sz w:val="24"/>
        </w:rPr>
        <w:t xml:space="preserve">West Oakland Job Resource Center: </w:t>
      </w:r>
      <w:r w:rsidRPr="0039285A">
        <w:rPr>
          <w:rFonts w:cstheme="minorHAnsi"/>
          <w:color w:val="000000"/>
          <w:sz w:val="24"/>
        </w:rPr>
        <w:t>The West Oakland Job Resource Center (WOJRC -</w:t>
      </w:r>
    </w:p>
    <w:p w14:paraId="7E748178" w14:textId="5F0DA68F" w:rsidR="00C733DB" w:rsidRDefault="00C733DB" w:rsidP="0039285A">
      <w:pPr>
        <w:autoSpaceDE w:val="0"/>
        <w:autoSpaceDN w:val="0"/>
        <w:adjustRightInd w:val="0"/>
        <w:ind w:left="720"/>
        <w:jc w:val="both"/>
        <w:rPr>
          <w:rFonts w:cstheme="minorHAnsi"/>
          <w:color w:val="000000"/>
        </w:rPr>
      </w:pPr>
      <w:r w:rsidRPr="0039285A">
        <w:rPr>
          <w:rFonts w:cstheme="minorHAnsi"/>
          <w:color w:val="000000"/>
        </w:rPr>
        <w:t>is an innovative project funded by the City Of</w:t>
      </w:r>
      <w:r w:rsidR="0039285A">
        <w:rPr>
          <w:rFonts w:cstheme="minorHAnsi"/>
          <w:color w:val="000000"/>
        </w:rPr>
        <w:t xml:space="preserve"> </w:t>
      </w:r>
      <w:r w:rsidRPr="0039285A">
        <w:rPr>
          <w:rFonts w:cstheme="minorHAnsi"/>
          <w:color w:val="000000"/>
        </w:rPr>
        <w:t>Oakland and other partners and is focused</w:t>
      </w:r>
      <w:r w:rsidR="0039285A">
        <w:rPr>
          <w:rFonts w:cstheme="minorHAnsi"/>
          <w:color w:val="000000"/>
        </w:rPr>
        <w:t xml:space="preserve"> </w:t>
      </w:r>
      <w:r w:rsidRPr="0039285A">
        <w:rPr>
          <w:rFonts w:cstheme="minorHAnsi"/>
          <w:color w:val="000000"/>
        </w:rPr>
        <w:t>on helping local residents learn about and</w:t>
      </w:r>
      <w:r w:rsidR="0039285A">
        <w:rPr>
          <w:rFonts w:cstheme="minorHAnsi"/>
          <w:color w:val="000000"/>
        </w:rPr>
        <w:t xml:space="preserve"> </w:t>
      </w:r>
      <w:r w:rsidRPr="0039285A">
        <w:rPr>
          <w:rFonts w:cstheme="minorHAnsi"/>
          <w:color w:val="000000"/>
        </w:rPr>
        <w:t>prepare for careers in the building trades. The center directly assists contractors working on</w:t>
      </w:r>
      <w:r w:rsidR="005E2171" w:rsidRPr="0039285A">
        <w:rPr>
          <w:rFonts w:cstheme="minorHAnsi"/>
          <w:color w:val="000000"/>
        </w:rPr>
        <w:t xml:space="preserve"> </w:t>
      </w:r>
      <w:r w:rsidRPr="0039285A">
        <w:rPr>
          <w:rFonts w:cstheme="minorHAnsi"/>
          <w:color w:val="000000"/>
        </w:rPr>
        <w:t>the Oakland Global Trade &amp; Logistics Center, the former Oakland Army Base, in hiring</w:t>
      </w:r>
      <w:r w:rsidR="0039285A">
        <w:rPr>
          <w:rFonts w:cstheme="minorHAnsi"/>
          <w:color w:val="000000"/>
        </w:rPr>
        <w:t xml:space="preserve"> </w:t>
      </w:r>
      <w:r w:rsidRPr="0039285A">
        <w:rPr>
          <w:rFonts w:cstheme="minorHAnsi"/>
          <w:color w:val="000000"/>
        </w:rPr>
        <w:t>qualified local workers. Working with partner construction trade unions, the WOJRC</w:t>
      </w:r>
      <w:r w:rsidR="0039285A">
        <w:rPr>
          <w:rFonts w:cstheme="minorHAnsi"/>
          <w:color w:val="000000"/>
        </w:rPr>
        <w:t xml:space="preserve"> </w:t>
      </w:r>
      <w:r w:rsidRPr="0039285A">
        <w:rPr>
          <w:rFonts w:cstheme="minorHAnsi"/>
          <w:color w:val="000000"/>
        </w:rPr>
        <w:t>screens individuals for the apprenticeship programs that allow qualified candidates to earn</w:t>
      </w:r>
      <w:r w:rsidR="005E2171" w:rsidRPr="0039285A">
        <w:rPr>
          <w:rFonts w:cstheme="minorHAnsi"/>
          <w:color w:val="000000"/>
        </w:rPr>
        <w:t xml:space="preserve"> </w:t>
      </w:r>
      <w:r w:rsidRPr="0039285A">
        <w:rPr>
          <w:rFonts w:cstheme="minorHAnsi"/>
          <w:color w:val="000000"/>
        </w:rPr>
        <w:t>while they learn.</w:t>
      </w:r>
    </w:p>
    <w:p w14:paraId="29BBABAB" w14:textId="77777777" w:rsidR="0039285A" w:rsidRPr="0039285A" w:rsidRDefault="0039285A" w:rsidP="0039285A">
      <w:pPr>
        <w:autoSpaceDE w:val="0"/>
        <w:autoSpaceDN w:val="0"/>
        <w:adjustRightInd w:val="0"/>
        <w:ind w:left="720"/>
        <w:jc w:val="both"/>
        <w:rPr>
          <w:rFonts w:cstheme="minorHAnsi"/>
          <w:color w:val="000000"/>
        </w:rPr>
      </w:pPr>
    </w:p>
    <w:p w14:paraId="5697C709" w14:textId="13BA128D" w:rsidR="00C733DB" w:rsidRPr="0039285A" w:rsidRDefault="00C733DB" w:rsidP="005E2171">
      <w:pPr>
        <w:pStyle w:val="ListParagraph"/>
        <w:numPr>
          <w:ilvl w:val="0"/>
          <w:numId w:val="39"/>
        </w:numPr>
        <w:autoSpaceDE w:val="0"/>
        <w:autoSpaceDN w:val="0"/>
        <w:adjustRightInd w:val="0"/>
        <w:rPr>
          <w:rFonts w:cstheme="minorHAnsi"/>
          <w:color w:val="000000"/>
          <w:sz w:val="24"/>
        </w:rPr>
      </w:pPr>
      <w:r w:rsidRPr="0039285A">
        <w:rPr>
          <w:rFonts w:cstheme="minorHAnsi"/>
          <w:i/>
          <w:iCs/>
          <w:color w:val="000000"/>
          <w:sz w:val="24"/>
        </w:rPr>
        <w:t xml:space="preserve">Day Labor Center </w:t>
      </w:r>
      <w:r w:rsidRPr="0039285A">
        <w:rPr>
          <w:rFonts w:cstheme="minorHAnsi"/>
          <w:color w:val="000000"/>
          <w:sz w:val="24"/>
        </w:rPr>
        <w:t xml:space="preserve">Supported by the City of Oakland’s </w:t>
      </w:r>
      <w:r w:rsidR="0039285A" w:rsidRPr="0039285A">
        <w:rPr>
          <w:rFonts w:cstheme="minorHAnsi"/>
          <w:color w:val="000000"/>
          <w:sz w:val="24"/>
        </w:rPr>
        <w:t>General-Purpose</w:t>
      </w:r>
      <w:r w:rsidRPr="0039285A">
        <w:rPr>
          <w:rFonts w:cstheme="minorHAnsi"/>
          <w:color w:val="000000"/>
          <w:sz w:val="24"/>
        </w:rPr>
        <w:t xml:space="preserve"> Fund (GPF) and</w:t>
      </w:r>
    </w:p>
    <w:p w14:paraId="386337C7" w14:textId="1C5955B7" w:rsidR="00C733DB" w:rsidRPr="0039285A" w:rsidRDefault="00C733DB" w:rsidP="005E2171">
      <w:pPr>
        <w:autoSpaceDE w:val="0"/>
        <w:autoSpaceDN w:val="0"/>
        <w:adjustRightInd w:val="0"/>
        <w:ind w:left="720"/>
        <w:jc w:val="both"/>
        <w:rPr>
          <w:rFonts w:cstheme="minorHAnsi"/>
          <w:color w:val="000000"/>
        </w:rPr>
      </w:pPr>
      <w:r w:rsidRPr="0039285A">
        <w:rPr>
          <w:rFonts w:cstheme="minorHAnsi"/>
          <w:color w:val="000000"/>
        </w:rPr>
        <w:t xml:space="preserve">operated by Causa </w:t>
      </w:r>
      <w:proofErr w:type="spellStart"/>
      <w:r w:rsidRPr="0039285A">
        <w:rPr>
          <w:rFonts w:cstheme="minorHAnsi"/>
          <w:color w:val="000000"/>
        </w:rPr>
        <w:t>Justa</w:t>
      </w:r>
      <w:proofErr w:type="spellEnd"/>
      <w:r w:rsidRPr="0039285A">
        <w:rPr>
          <w:rFonts w:cstheme="minorHAnsi"/>
          <w:color w:val="000000"/>
        </w:rPr>
        <w:t>, the Day Labor Center runs as a hiring hall mode</w:t>
      </w:r>
      <w:r w:rsidR="005E2171" w:rsidRPr="0039285A">
        <w:rPr>
          <w:rFonts w:cstheme="minorHAnsi"/>
          <w:color w:val="000000"/>
        </w:rPr>
        <w:t xml:space="preserve">l </w:t>
      </w:r>
      <w:r w:rsidRPr="0039285A">
        <w:rPr>
          <w:rFonts w:cstheme="minorHAnsi"/>
          <w:color w:val="000000"/>
        </w:rPr>
        <w:t>to link contractors and day laborers, track outcomes and include key supportive services to</w:t>
      </w:r>
      <w:r w:rsidR="005E2171" w:rsidRPr="0039285A">
        <w:rPr>
          <w:rFonts w:cstheme="minorHAnsi"/>
          <w:color w:val="000000"/>
        </w:rPr>
        <w:t xml:space="preserve"> t</w:t>
      </w:r>
      <w:r w:rsidRPr="0039285A">
        <w:rPr>
          <w:rFonts w:cstheme="minorHAnsi"/>
          <w:color w:val="000000"/>
        </w:rPr>
        <w:t>he day laborer population. This model helps to reduce risk for contractors and workers alike</w:t>
      </w:r>
      <w:r w:rsidR="005E2171" w:rsidRPr="0039285A">
        <w:rPr>
          <w:rFonts w:cstheme="minorHAnsi"/>
          <w:color w:val="000000"/>
        </w:rPr>
        <w:t xml:space="preserve"> </w:t>
      </w:r>
      <w:r w:rsidRPr="0039285A">
        <w:rPr>
          <w:rFonts w:cstheme="minorHAnsi"/>
          <w:color w:val="000000"/>
        </w:rPr>
        <w:t>by reducing the potential risk associated with day labor work around payment for services</w:t>
      </w:r>
      <w:r w:rsidR="005E2171" w:rsidRPr="0039285A">
        <w:rPr>
          <w:rFonts w:cstheme="minorHAnsi"/>
          <w:color w:val="000000"/>
        </w:rPr>
        <w:t xml:space="preserve"> </w:t>
      </w:r>
      <w:r w:rsidRPr="0039285A">
        <w:rPr>
          <w:rFonts w:cstheme="minorHAnsi"/>
          <w:color w:val="000000"/>
        </w:rPr>
        <w:t>and workplace safety.</w:t>
      </w:r>
    </w:p>
    <w:p w14:paraId="748222CD" w14:textId="77777777" w:rsidR="00827929" w:rsidRDefault="00827929" w:rsidP="00080D7E">
      <w:pPr>
        <w:jc w:val="both"/>
      </w:pPr>
    </w:p>
    <w:p w14:paraId="3C0BD367" w14:textId="77777777" w:rsidR="00827929" w:rsidRDefault="00827929" w:rsidP="00827929">
      <w:pPr>
        <w:jc w:val="both"/>
      </w:pPr>
      <w:r>
        <w:rPr>
          <w:rFonts w:ascii="Calibri" w:eastAsia="Calibri" w:hAnsi="Calibri" w:cs="Calibri"/>
        </w:rPr>
        <w:t xml:space="preserve">In public meetings with Oakland community members during the PY21-24 Local Plan planning process, community stakeholders echoed the importance of co-locating workforce services with other services and programs, such as healthcare or other entitlement programs. Additionally, community stakeholders elevated the importance of co-locating and facilitating access to one-stop services with the need for increasing spread of these services across the city, such as by providing more mobile services or using pop-up spaces in neighborhood institutions (like church parking lots or opportunity zones). </w:t>
      </w:r>
    </w:p>
    <w:p w14:paraId="125E5DFF" w14:textId="77777777" w:rsidR="00080D7E" w:rsidRDefault="00080D7E" w:rsidP="00080D7E">
      <w:pPr>
        <w:jc w:val="both"/>
      </w:pPr>
    </w:p>
    <w:p w14:paraId="2A5B7ED9" w14:textId="186FB1FA" w:rsidR="00AC6594" w:rsidRDefault="00634D04" w:rsidP="00080D7E">
      <w:pPr>
        <w:jc w:val="both"/>
      </w:pPr>
      <w:r>
        <w:lastRenderedPageBreak/>
        <w:t>The co-location of services</w:t>
      </w:r>
      <w:r w:rsidR="000B0410">
        <w:t xml:space="preserve"> is </w:t>
      </w:r>
      <w:r w:rsidR="00E12A01">
        <w:t>important to facilitate access to career services, training, rapid response services and other workforce development opportunities</w:t>
      </w:r>
      <w:r w:rsidR="00247C6D">
        <w:t xml:space="preserve"> while reducing barriers to transportation, such as unreliable access to public transit and/or personal </w:t>
      </w:r>
      <w:r w:rsidR="00080DF8">
        <w:t>vehicles.</w:t>
      </w:r>
    </w:p>
    <w:p w14:paraId="27AA9402" w14:textId="296A3325" w:rsidR="00955224" w:rsidRPr="00955224" w:rsidRDefault="005C2D35" w:rsidP="005C2D35">
      <w:pPr>
        <w:spacing w:before="240" w:after="120"/>
        <w:rPr>
          <w:rFonts w:ascii="Cambria" w:eastAsia="Calibri" w:hAnsi="Cambria" w:cs="Times New Roman"/>
          <w:b/>
          <w:iCs/>
          <w:color w:val="282626"/>
          <w14:textFill>
            <w14:solidFill>
              <w14:srgbClr w14:val="282626">
                <w14:alpha w14:val="20000"/>
              </w14:srgbClr>
            </w14:solidFill>
          </w14:textFill>
        </w:rPr>
      </w:pPr>
      <w:r>
        <w:rPr>
          <w:rFonts w:ascii="Cambria" w:eastAsia="Calibri" w:hAnsi="Cambria" w:cs="Times New Roman"/>
          <w:b/>
          <w:iCs/>
          <w:color w:val="282626"/>
          <w14:textFill>
            <w14:solidFill>
              <w14:srgbClr w14:val="282626">
                <w14:alpha w14:val="20000"/>
              </w14:srgbClr>
            </w14:solidFill>
          </w14:textFill>
        </w:rPr>
        <w:t>C</w:t>
      </w:r>
      <w:r w:rsidR="00D771AF">
        <w:rPr>
          <w:rFonts w:ascii="Cambria" w:eastAsia="Calibri" w:hAnsi="Cambria" w:cs="Times New Roman"/>
          <w:b/>
          <w:iCs/>
          <w:color w:val="282626"/>
          <w14:textFill>
            <w14:solidFill>
              <w14:srgbClr w14:val="282626">
                <w14:alpha w14:val="20000"/>
              </w14:srgbClr>
            </w14:solidFill>
          </w14:textFill>
        </w:rPr>
        <w:t>oordination of Supportive Services</w:t>
      </w:r>
    </w:p>
    <w:p w14:paraId="7793D214" w14:textId="034D25A6" w:rsidR="00DD1FDD" w:rsidRDefault="00955224" w:rsidP="00955224">
      <w:pPr>
        <w:jc w:val="both"/>
      </w:pPr>
      <w:r>
        <w:t xml:space="preserve">Supportive </w:t>
      </w:r>
      <w:r w:rsidR="00CC29D3">
        <w:t>s</w:t>
      </w:r>
      <w:r>
        <w:t xml:space="preserve">ervices are an important component to helping Oakland’s most vulnerable residents further their career and employment goals. OWDB has worked with its contracted service providers and the broader ecosystem of nonprofit and other organizations to maximize the usage of non-WIOA resources to meet these needs. At the same time, the OWDB has provided guidance around the use of WIOA funds to offer needs-based assistance, including help with transportation, materials and supplies (books, tools, uniforms, etc.) needed for training and employment, minor health and personal care issues, and other miscellaneous needs. </w:t>
      </w:r>
    </w:p>
    <w:p w14:paraId="5B1D2E33" w14:textId="77777777" w:rsidR="005E6354" w:rsidRDefault="005E6354" w:rsidP="00955224">
      <w:pPr>
        <w:jc w:val="both"/>
      </w:pPr>
    </w:p>
    <w:p w14:paraId="00DCE9A0" w14:textId="0E7E20B5" w:rsidR="00DD1FDD" w:rsidRDefault="00DD1FDD" w:rsidP="00DD1FDD">
      <w:pPr>
        <w:jc w:val="both"/>
      </w:pPr>
      <w:r>
        <w:t>Supportive services most closely connected to enable employment (e.g. provision of uniforms, tools, transportation, etc.) are given particular emphasis. Because these resources are extremely finite, the OWDB works with other public and nonprofit partners to provide and/or facilitate access to services and organizations that are equipped and have capacity to provider support, whether they include food resources, housing resources, legal assistance, or other services.</w:t>
      </w:r>
      <w:r w:rsidR="005E6354">
        <w:t xml:space="preserve"> As part of the strategies outlined above, the OWDB will seek to expand the network of public, nonprofit, and other organizations in Oakland who can help to further strengthen the ecosystem of supportive services in the city. </w:t>
      </w:r>
    </w:p>
    <w:p w14:paraId="2152613E" w14:textId="77777777" w:rsidR="002E5784" w:rsidRDefault="002E5784" w:rsidP="00955224">
      <w:pPr>
        <w:jc w:val="both"/>
      </w:pPr>
    </w:p>
    <w:p w14:paraId="2CF5C866" w14:textId="6037F8E4" w:rsidR="00D33245" w:rsidRPr="00D33245" w:rsidRDefault="00D33245" w:rsidP="00153697">
      <w:pPr>
        <w:spacing w:after="120"/>
        <w:rPr>
          <w:b/>
        </w:rPr>
      </w:pPr>
      <w:r>
        <w:rPr>
          <w:b/>
        </w:rPr>
        <w:t xml:space="preserve">Spotlight: </w:t>
      </w:r>
      <w:r w:rsidRPr="00D33245">
        <w:rPr>
          <w:b/>
        </w:rPr>
        <w:t>Equity Indicators</w:t>
      </w:r>
      <w:r w:rsidR="00153697">
        <w:rPr>
          <w:b/>
        </w:rPr>
        <w:t xml:space="preserve"> &amp; WIOA Partner Strategies</w:t>
      </w:r>
    </w:p>
    <w:p w14:paraId="744F4306" w14:textId="52C5F808" w:rsidR="00E318AA" w:rsidRDefault="0046533B" w:rsidP="00955224">
      <w:r>
        <w:t>M</w:t>
      </w:r>
      <w:r w:rsidR="00501816">
        <w:t xml:space="preserve">any of the above strategy areas and objectives articulate with one or more of the indicators in the 2018 Oakland Equity Indicators Report. The table below lists these </w:t>
      </w:r>
      <w:r w:rsidR="00567043">
        <w:t>relationships</w:t>
      </w:r>
      <w:r w:rsidR="00501816">
        <w:t xml:space="preserve">. </w:t>
      </w:r>
    </w:p>
    <w:p w14:paraId="5E0F1C29" w14:textId="77777777" w:rsidR="00E318AA" w:rsidRDefault="00E318AA" w:rsidP="00956DDE">
      <w:pPr>
        <w:keepNext/>
        <w:keepLines/>
        <w:jc w:val="both"/>
        <w:outlineLvl w:val="2"/>
        <w:rPr>
          <w:rFonts w:ascii="Cambria" w:eastAsia="Times New Roman" w:hAnsi="Cambria" w:cs="Times New Roman"/>
          <w:iCs/>
          <w:color w:val="282626"/>
          <w14:textFill>
            <w14:solidFill>
              <w14:srgbClr w14:val="282626">
                <w14:alpha w14:val="20000"/>
              </w14:srgbClr>
            </w14:solidFill>
          </w14:textFill>
        </w:rPr>
      </w:pPr>
    </w:p>
    <w:tbl>
      <w:tblPr>
        <w:tblStyle w:val="PlainTable1"/>
        <w:tblW w:w="9354" w:type="dxa"/>
        <w:tblLook w:val="04A0" w:firstRow="1" w:lastRow="0" w:firstColumn="1" w:lastColumn="0" w:noHBand="0" w:noVBand="1"/>
      </w:tblPr>
      <w:tblGrid>
        <w:gridCol w:w="1305"/>
        <w:gridCol w:w="8049"/>
      </w:tblGrid>
      <w:tr w:rsidR="00827F01" w14:paraId="1F77FDF2" w14:textId="5FEB477A" w:rsidTr="00827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
          </w:tcPr>
          <w:p w14:paraId="60220D9A" w14:textId="6BDD074F" w:rsidR="00827F01" w:rsidRDefault="00827F01" w:rsidP="00580C9B">
            <w:pPr>
              <w:jc w:val="center"/>
            </w:pPr>
            <w:r>
              <w:t>Oakland Equity Indicators Crosswalk – WIOA Partner Coordination Strategies</w:t>
            </w:r>
          </w:p>
        </w:tc>
      </w:tr>
      <w:tr w:rsidR="00827F01" w14:paraId="23A6F9A8" w14:textId="1570B792" w:rsidTr="00333456">
        <w:trPr>
          <w:cnfStyle w:val="000000100000" w:firstRow="0" w:lastRow="0" w:firstColumn="0" w:lastColumn="0" w:oddVBand="0" w:evenVBand="0" w:oddHBand="1" w:evenHBand="0" w:firstRowFirstColumn="0" w:firstRowLastColumn="0" w:lastRowFirstColumn="0" w:lastRowLastColumn="0"/>
          <w:trHeight w:val="2798"/>
        </w:trPr>
        <w:tc>
          <w:tcPr>
            <w:cnfStyle w:val="001000000000" w:firstRow="0" w:lastRow="0" w:firstColumn="1" w:lastColumn="0" w:oddVBand="0" w:evenVBand="0" w:oddHBand="0" w:evenHBand="0" w:firstRowFirstColumn="0" w:firstRowLastColumn="0" w:lastRowFirstColumn="0" w:lastRowLastColumn="0"/>
            <w:tcW w:w="1293" w:type="dxa"/>
            <w:tcBorders>
              <w:right w:val="single" w:sz="4" w:space="0" w:color="F2F2F2" w:themeColor="background1" w:themeShade="F2"/>
            </w:tcBorders>
          </w:tcPr>
          <w:p w14:paraId="014DE06A" w14:textId="4975A051" w:rsidR="00827F01" w:rsidRPr="00827F01" w:rsidRDefault="00827F01" w:rsidP="00827F01">
            <w:pPr>
              <w:ind w:left="360"/>
            </w:pPr>
            <w:r w:rsidRPr="00CB7149">
              <w:rPr>
                <w:noProof/>
              </w:rPr>
              <w:drawing>
                <wp:anchor distT="0" distB="0" distL="114300" distR="114300" simplePos="0" relativeHeight="251677696" behindDoc="1" locked="0" layoutInCell="1" allowOverlap="1" wp14:anchorId="28C50BFA" wp14:editId="1448C0E8">
                  <wp:simplePos x="0" y="0"/>
                  <wp:positionH relativeFrom="column">
                    <wp:posOffset>-33020</wp:posOffset>
                  </wp:positionH>
                  <wp:positionV relativeFrom="paragraph">
                    <wp:posOffset>63500</wp:posOffset>
                  </wp:positionV>
                  <wp:extent cx="691515" cy="601345"/>
                  <wp:effectExtent l="0" t="0" r="0" b="0"/>
                  <wp:wrapTight wrapText="bothSides">
                    <wp:wrapPolygon edited="0">
                      <wp:start x="2777" y="912"/>
                      <wp:lineTo x="397" y="8667"/>
                      <wp:lineTo x="1587" y="16422"/>
                      <wp:lineTo x="2380" y="20528"/>
                      <wp:lineTo x="20628" y="20528"/>
                      <wp:lineTo x="21025" y="17791"/>
                      <wp:lineTo x="20628" y="9124"/>
                      <wp:lineTo x="19041" y="912"/>
                      <wp:lineTo x="2777" y="9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4944" t="21965" r="17379" b="19158"/>
                          <a:stretch/>
                        </pic:blipFill>
                        <pic:spPr bwMode="auto">
                          <a:xfrm>
                            <a:off x="0" y="0"/>
                            <a:ext cx="691515"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061" w:type="dxa"/>
            <w:tcBorders>
              <w:left w:val="single" w:sz="4" w:space="0" w:color="F2F2F2" w:themeColor="background1" w:themeShade="F2"/>
            </w:tcBorders>
          </w:tcPr>
          <w:p w14:paraId="282C4771" w14:textId="47D94A5A" w:rsidR="00827F01" w:rsidRPr="0065330C" w:rsidRDefault="00827F01" w:rsidP="00333456">
            <w:pPr>
              <w:pStyle w:val="ListParagraph"/>
              <w:numPr>
                <w:ilvl w:val="0"/>
                <w:numId w:val="18"/>
              </w:numPr>
              <w:ind w:left="376" w:hanging="286"/>
              <w:cnfStyle w:val="000000100000" w:firstRow="0" w:lastRow="0" w:firstColumn="0" w:lastColumn="0" w:oddVBand="0" w:evenVBand="0" w:oddHBand="1" w:evenHBand="0" w:firstRowFirstColumn="0" w:firstRowLastColumn="0" w:lastRowFirstColumn="0" w:lastRowLastColumn="0"/>
              <w:rPr>
                <w:b/>
                <w:sz w:val="24"/>
              </w:rPr>
            </w:pPr>
            <w:r w:rsidRPr="00CB7149">
              <w:rPr>
                <w:b/>
                <w:sz w:val="24"/>
              </w:rPr>
              <w:t xml:space="preserve">All of the core partner strategies support </w:t>
            </w:r>
            <w:r w:rsidRPr="00CB7149">
              <w:rPr>
                <w:sz w:val="24"/>
              </w:rPr>
              <w:t>Labor Force Participation</w:t>
            </w:r>
            <w:r>
              <w:rPr>
                <w:sz w:val="24"/>
              </w:rPr>
              <w:t xml:space="preserve">, Unemployment, Living Wage, </w:t>
            </w:r>
            <w:r>
              <w:rPr>
                <w:b/>
                <w:sz w:val="24"/>
              </w:rPr>
              <w:t xml:space="preserve">and </w:t>
            </w:r>
            <w:r w:rsidRPr="00CB7149">
              <w:rPr>
                <w:sz w:val="24"/>
              </w:rPr>
              <w:t>Workforce Development Programs</w:t>
            </w:r>
            <w:r>
              <w:rPr>
                <w:b/>
                <w:sz w:val="24"/>
              </w:rPr>
              <w:t xml:space="preserve">. </w:t>
            </w:r>
          </w:p>
          <w:p w14:paraId="45BD86ED" w14:textId="77777777" w:rsidR="00827F01" w:rsidRPr="00333456" w:rsidRDefault="00827F01" w:rsidP="00333456">
            <w:pPr>
              <w:pStyle w:val="ListParagraph"/>
              <w:numPr>
                <w:ilvl w:val="0"/>
                <w:numId w:val="18"/>
              </w:numPr>
              <w:ind w:left="376" w:hanging="286"/>
              <w:cnfStyle w:val="000000100000" w:firstRow="0" w:lastRow="0" w:firstColumn="0" w:lastColumn="0" w:oddVBand="0" w:evenVBand="0" w:oddHBand="1" w:evenHBand="0" w:firstRowFirstColumn="0" w:firstRowLastColumn="0" w:lastRowFirstColumn="0" w:lastRowLastColumn="0"/>
              <w:rPr>
                <w:sz w:val="24"/>
              </w:rPr>
            </w:pPr>
            <w:r>
              <w:rPr>
                <w:b/>
                <w:sz w:val="24"/>
              </w:rPr>
              <w:t xml:space="preserve">Youth Services Providers strategies </w:t>
            </w:r>
            <w:r w:rsidRPr="00333456">
              <w:rPr>
                <w:sz w:val="24"/>
              </w:rPr>
              <w:t xml:space="preserve">support Disconnected Youth and Linked Learning Pathways Enrollment. </w:t>
            </w:r>
          </w:p>
          <w:p w14:paraId="12EE19E0" w14:textId="77777777" w:rsidR="00827F01" w:rsidRPr="00333456" w:rsidRDefault="00827F01" w:rsidP="00333456">
            <w:pPr>
              <w:pStyle w:val="ListParagraph"/>
              <w:numPr>
                <w:ilvl w:val="0"/>
                <w:numId w:val="18"/>
              </w:numPr>
              <w:ind w:left="376" w:hanging="286"/>
              <w:cnfStyle w:val="000000100000" w:firstRow="0" w:lastRow="0" w:firstColumn="0" w:lastColumn="0" w:oddVBand="0" w:evenVBand="0" w:oddHBand="1" w:evenHBand="0" w:firstRowFirstColumn="0" w:firstRowLastColumn="0" w:lastRowFirstColumn="0" w:lastRowLastColumn="0"/>
              <w:rPr>
                <w:sz w:val="24"/>
              </w:rPr>
            </w:pPr>
            <w:r>
              <w:rPr>
                <w:b/>
                <w:sz w:val="24"/>
              </w:rPr>
              <w:t xml:space="preserve">The Employer Connections, Fair Chance, and first source hiring strategy areas support </w:t>
            </w:r>
            <w:r w:rsidRPr="00333456">
              <w:rPr>
                <w:sz w:val="24"/>
              </w:rPr>
              <w:t xml:space="preserve">Labor Force Participation, Unemployment Rate, Employment in High Wage Industries, Living Wage, and Workforce Development Programs. </w:t>
            </w:r>
          </w:p>
          <w:p w14:paraId="203F21BA" w14:textId="53636FCE" w:rsidR="00827F01" w:rsidRPr="00CB7149" w:rsidRDefault="00827F01" w:rsidP="00333456">
            <w:pPr>
              <w:pStyle w:val="ListParagraph"/>
              <w:numPr>
                <w:ilvl w:val="0"/>
                <w:numId w:val="18"/>
              </w:numPr>
              <w:ind w:left="376" w:hanging="286"/>
              <w:cnfStyle w:val="000000100000" w:firstRow="0" w:lastRow="0" w:firstColumn="0" w:lastColumn="0" w:oddVBand="0" w:evenVBand="0" w:oddHBand="1" w:evenHBand="0" w:firstRowFirstColumn="0" w:firstRowLastColumn="0" w:lastRowFirstColumn="0" w:lastRowLastColumn="0"/>
              <w:rPr>
                <w:noProof/>
                <w:sz w:val="24"/>
              </w:rPr>
            </w:pPr>
            <w:r>
              <w:rPr>
                <w:b/>
                <w:sz w:val="24"/>
              </w:rPr>
              <w:t xml:space="preserve">The Employment Supports for the Unhoused Population strategy areas support </w:t>
            </w:r>
            <w:r w:rsidRPr="00333456">
              <w:rPr>
                <w:sz w:val="24"/>
              </w:rPr>
              <w:t xml:space="preserve">Homelessness </w:t>
            </w:r>
            <w:r w:rsidRPr="00333456">
              <w:rPr>
                <w:b/>
                <w:sz w:val="24"/>
              </w:rPr>
              <w:t>and</w:t>
            </w:r>
            <w:r w:rsidRPr="00333456">
              <w:rPr>
                <w:sz w:val="24"/>
              </w:rPr>
              <w:t xml:space="preserve"> Labor Force Participation.</w:t>
            </w:r>
          </w:p>
        </w:tc>
      </w:tr>
    </w:tbl>
    <w:p w14:paraId="762FFC92" w14:textId="6216AD17" w:rsidR="00CB7349" w:rsidRDefault="007D0D91" w:rsidP="00956DDE">
      <w:pPr>
        <w:keepNext/>
        <w:keepLines/>
        <w:spacing w:before="240"/>
        <w:outlineLvl w:val="0"/>
        <w:rPr>
          <w:rFonts w:ascii="Cambria" w:eastAsia="Times New Roman" w:hAnsi="Cambria" w:cs="Times New Roman"/>
          <w:b/>
          <w:iCs/>
          <w:color w:val="009CCE"/>
          <w:sz w:val="28"/>
          <w:szCs w:val="28"/>
        </w:rPr>
      </w:pPr>
      <w:r w:rsidRPr="007D0D91">
        <w:rPr>
          <w:rFonts w:ascii="Cambria" w:eastAsia="Times New Roman" w:hAnsi="Cambria" w:cs="Times New Roman"/>
          <w:b/>
          <w:iCs/>
          <w:color w:val="009CCE"/>
          <w:sz w:val="28"/>
          <w:szCs w:val="28"/>
        </w:rPr>
        <w:lastRenderedPageBreak/>
        <w:t>State Strategic Partner Coordination</w:t>
      </w:r>
    </w:p>
    <w:p w14:paraId="519CF14F" w14:textId="114AAAA7" w:rsidR="000E6012" w:rsidRPr="000E6012" w:rsidRDefault="00BF6246" w:rsidP="00BF6246">
      <w:pPr>
        <w:pStyle w:val="Heading31"/>
        <w:spacing w:before="240" w:after="120"/>
        <w:rPr>
          <w:sz w:val="24"/>
        </w:rPr>
      </w:pPr>
      <w:r>
        <w:rPr>
          <w:rFonts w:asciiTheme="minorHAnsi" w:eastAsiaTheme="minorHAnsi" w:hAnsiTheme="minorHAnsi" w:cstheme="minorBidi"/>
          <w:b w:val="0"/>
          <w:iCs w:val="0"/>
          <w:color w:val="000000"/>
          <w:sz w:val="24"/>
          <w14:textFill>
            <w14:solidFill>
              <w14:srgbClr w14:val="000000">
                <w14:alpha w14:val="20000"/>
              </w14:srgbClr>
            </w14:solidFill>
          </w14:textFill>
        </w:rPr>
        <w:t>C</w:t>
      </w:r>
      <w:r w:rsidR="000E6012" w:rsidRPr="000E6012">
        <w:rPr>
          <w:sz w:val="24"/>
        </w:rPr>
        <w:t>ompliance with Applicable Provisions of the Americans with Disabilities Act</w:t>
      </w:r>
    </w:p>
    <w:p w14:paraId="69ACD785" w14:textId="01E790A5" w:rsidR="00AE5B75" w:rsidRDefault="00AE5B75" w:rsidP="00AE5B75">
      <w:pPr>
        <w:jc w:val="both"/>
      </w:pPr>
      <w:r>
        <w:t xml:space="preserve">The OWDB has been very intentional around ensuring its compliance with statutory requirements related to the Americans with Disabilities Act (ADA). The OWDB has a minimum of one appropriately trained staff member to serve as the local Equal Opportunity (EO) Officer to successfully administer the local biennial assessment process to determine nondiscrimination and universal facility access according to ADA guidelines, and an OWDB staff member services as the Departmental Access Coordinator for ADA issues for the City of </w:t>
      </w:r>
      <w:r w:rsidRPr="006A132B">
        <w:t>Oakland EWDD. The OWDB</w:t>
      </w:r>
      <w:r w:rsidR="006A132B" w:rsidRPr="006A132B">
        <w:t xml:space="preserve"> and it contracted service providers</w:t>
      </w:r>
      <w:r w:rsidRPr="006A132B">
        <w:t xml:space="preserve"> maintains a working partnership with local representatives from the California Department of Rehabilitation (DOR) to coordinate the provision of services locally in accordance with </w:t>
      </w:r>
      <w:r w:rsidR="00D955DB" w:rsidRPr="006A132B">
        <w:t>the</w:t>
      </w:r>
      <w:r w:rsidRPr="006A132B">
        <w:t xml:space="preserve"> MOU. OWDB staff also work to ensure that contracted service providers have the proper training to specifically serve individuals with disabilities, as well as access to equipment and tools that enhance service accessibility for people with disabilities. Finally, the OWDB will</w:t>
      </w:r>
      <w:r w:rsidR="006A132B" w:rsidRPr="006A132B">
        <w:t xml:space="preserve"> increase</w:t>
      </w:r>
      <w:r w:rsidRPr="006A132B">
        <w:t xml:space="preserve"> this support as it expands partnerships with th</w:t>
      </w:r>
      <w:r w:rsidR="006A132B" w:rsidRPr="006A132B">
        <w:t>e</w:t>
      </w:r>
      <w:r w:rsidRPr="006A132B">
        <w:t xml:space="preserve"> network of service providers in Oakland and the region.</w:t>
      </w:r>
      <w:r>
        <w:t xml:space="preserve"> </w:t>
      </w:r>
    </w:p>
    <w:p w14:paraId="2CC9441C" w14:textId="2A94A1C2" w:rsidR="00A73944" w:rsidRPr="00A73944" w:rsidRDefault="00824F7B" w:rsidP="001C58B9">
      <w:pPr>
        <w:pStyle w:val="Heading31"/>
        <w:spacing w:before="240" w:after="120"/>
        <w:rPr>
          <w:sz w:val="24"/>
        </w:rPr>
      </w:pPr>
      <w:r w:rsidRPr="00E53683">
        <w:rPr>
          <w:sz w:val="24"/>
        </w:rPr>
        <w:t xml:space="preserve">Coordination with </w:t>
      </w:r>
      <w:r w:rsidR="001C35E6" w:rsidRPr="00E53683">
        <w:rPr>
          <w:sz w:val="24"/>
        </w:rPr>
        <w:t xml:space="preserve">Alameda County Social </w:t>
      </w:r>
      <w:r w:rsidR="00DB7A6B" w:rsidRPr="00E53683">
        <w:rPr>
          <w:sz w:val="24"/>
        </w:rPr>
        <w:t>Services</w:t>
      </w:r>
      <w:r w:rsidRPr="00E53683">
        <w:rPr>
          <w:sz w:val="24"/>
        </w:rPr>
        <w:t>, Child Support Services &amp; Community-Based Organizations</w:t>
      </w:r>
    </w:p>
    <w:p w14:paraId="3B348550" w14:textId="6D706306" w:rsidR="00A73944" w:rsidRDefault="00132A66" w:rsidP="00AE5B75">
      <w:pPr>
        <w:jc w:val="both"/>
        <w:rPr>
          <w:rFonts w:ascii="Calibri" w:eastAsia="Calibri" w:hAnsi="Calibri" w:cs="Calibri"/>
        </w:rPr>
      </w:pPr>
      <w:r>
        <w:rPr>
          <w:rFonts w:ascii="Calibri" w:eastAsia="Calibri" w:hAnsi="Calibri" w:cs="Calibri"/>
        </w:rPr>
        <w:t xml:space="preserve">Across its partnerships with state strategic partners including Alameda County </w:t>
      </w:r>
      <w:r w:rsidR="001C35E6">
        <w:rPr>
          <w:rFonts w:ascii="Calibri" w:eastAsia="Calibri" w:hAnsi="Calibri" w:cs="Calibri"/>
        </w:rPr>
        <w:t>Social Services Agency</w:t>
      </w:r>
      <w:r>
        <w:rPr>
          <w:rFonts w:ascii="Calibri" w:eastAsia="Calibri" w:hAnsi="Calibri" w:cs="Calibri"/>
        </w:rPr>
        <w:t>,</w:t>
      </w:r>
      <w:r w:rsidR="001C35E6">
        <w:rPr>
          <w:rFonts w:ascii="Calibri" w:eastAsia="Calibri" w:hAnsi="Calibri" w:cs="Calibri"/>
        </w:rPr>
        <w:t xml:space="preserve"> Alameda County</w:t>
      </w:r>
      <w:r>
        <w:rPr>
          <w:rFonts w:ascii="Calibri" w:eastAsia="Calibri" w:hAnsi="Calibri" w:cs="Calibri"/>
        </w:rPr>
        <w:t xml:space="preserve"> Child Support Services, and community-based organizations serving individuals who are English language learners, foreign-born and/or refuge</w:t>
      </w:r>
      <w:r w:rsidR="006258F2">
        <w:rPr>
          <w:rFonts w:ascii="Calibri" w:eastAsia="Calibri" w:hAnsi="Calibri" w:cs="Calibri"/>
        </w:rPr>
        <w:t>e</w:t>
      </w:r>
      <w:r>
        <w:rPr>
          <w:rFonts w:ascii="Calibri" w:eastAsia="Calibri" w:hAnsi="Calibri" w:cs="Calibri"/>
        </w:rPr>
        <w:t>s, t</w:t>
      </w:r>
      <w:r w:rsidR="00A73944">
        <w:rPr>
          <w:rFonts w:ascii="Calibri" w:eastAsia="Calibri" w:hAnsi="Calibri" w:cs="Calibri"/>
        </w:rPr>
        <w:t xml:space="preserve">he OWDB is continuing with several strategies halted </w:t>
      </w:r>
      <w:r w:rsidR="00DB7A6B">
        <w:rPr>
          <w:rFonts w:ascii="Calibri" w:eastAsia="Calibri" w:hAnsi="Calibri" w:cs="Calibri"/>
        </w:rPr>
        <w:t>because of</w:t>
      </w:r>
      <w:r w:rsidR="00A73944">
        <w:rPr>
          <w:rFonts w:ascii="Calibri" w:eastAsia="Calibri" w:hAnsi="Calibri" w:cs="Calibri"/>
        </w:rPr>
        <w:t xml:space="preserve"> the COVID-19 pandemic. </w:t>
      </w:r>
      <w:r w:rsidR="00E95F22">
        <w:rPr>
          <w:rFonts w:ascii="Calibri" w:eastAsia="Calibri" w:hAnsi="Calibri" w:cs="Calibri"/>
        </w:rPr>
        <w:fldChar w:fldCharType="begin"/>
      </w:r>
      <w:r w:rsidR="00E95F22">
        <w:rPr>
          <w:rFonts w:ascii="Calibri" w:eastAsia="Calibri" w:hAnsi="Calibri" w:cs="Calibri"/>
        </w:rPr>
        <w:instrText xml:space="preserve"> REF _Ref66140474 \h </w:instrText>
      </w:r>
      <w:r w:rsidR="00E95F22">
        <w:rPr>
          <w:rFonts w:ascii="Calibri" w:eastAsia="Calibri" w:hAnsi="Calibri" w:cs="Calibri"/>
        </w:rPr>
      </w:r>
      <w:r w:rsidR="00E95F22">
        <w:rPr>
          <w:rFonts w:ascii="Calibri" w:eastAsia="Calibri" w:hAnsi="Calibri" w:cs="Calibri"/>
        </w:rPr>
        <w:fldChar w:fldCharType="separate"/>
      </w:r>
      <w:r w:rsidR="000F6D23" w:rsidRPr="00CF210F">
        <w:t xml:space="preserve">Table </w:t>
      </w:r>
      <w:r w:rsidR="000F6D23">
        <w:rPr>
          <w:noProof/>
        </w:rPr>
        <w:t>5</w:t>
      </w:r>
      <w:r w:rsidR="00E95F22">
        <w:rPr>
          <w:rFonts w:ascii="Calibri" w:eastAsia="Calibri" w:hAnsi="Calibri" w:cs="Calibri"/>
        </w:rPr>
        <w:fldChar w:fldCharType="end"/>
      </w:r>
      <w:r w:rsidR="00E95F22">
        <w:rPr>
          <w:rFonts w:ascii="Calibri" w:eastAsia="Calibri" w:hAnsi="Calibri" w:cs="Calibri"/>
        </w:rPr>
        <w:t xml:space="preserve"> </w:t>
      </w:r>
      <w:r w:rsidR="00A73944">
        <w:rPr>
          <w:rFonts w:ascii="Calibri" w:eastAsia="Calibri" w:hAnsi="Calibri" w:cs="Calibri"/>
        </w:rPr>
        <w:t xml:space="preserve">below describes these </w:t>
      </w:r>
      <w:r w:rsidR="00A73944" w:rsidRPr="007D1DD5">
        <w:rPr>
          <w:rFonts w:ascii="Calibri" w:eastAsia="Calibri" w:hAnsi="Calibri" w:cs="Calibri"/>
          <w:b/>
        </w:rPr>
        <w:t>ongoing strategies</w:t>
      </w:r>
      <w:r w:rsidR="0032561D">
        <w:rPr>
          <w:rFonts w:ascii="Calibri" w:eastAsia="Calibri" w:hAnsi="Calibri" w:cs="Calibri"/>
        </w:rPr>
        <w:t xml:space="preserve"> by agency partner</w:t>
      </w:r>
      <w:r w:rsidR="00A73944">
        <w:rPr>
          <w:rFonts w:ascii="Calibri" w:eastAsia="Calibri" w:hAnsi="Calibri" w:cs="Calibri"/>
        </w:rPr>
        <w:t xml:space="preserve">.  </w:t>
      </w:r>
    </w:p>
    <w:p w14:paraId="0B93C87B" w14:textId="3F7ECE5B" w:rsidR="00E318AA" w:rsidRDefault="00E318AA" w:rsidP="00AE5B75">
      <w:pPr>
        <w:jc w:val="both"/>
        <w:rPr>
          <w:rFonts w:ascii="Calibri" w:eastAsia="Calibri" w:hAnsi="Calibri" w:cs="Calibri"/>
        </w:rPr>
      </w:pPr>
    </w:p>
    <w:p w14:paraId="323B9EB8" w14:textId="23502B6E" w:rsidR="00115A79" w:rsidRPr="00CF210F" w:rsidRDefault="00115A79" w:rsidP="00115A79">
      <w:pPr>
        <w:pStyle w:val="Caption"/>
        <w:rPr>
          <w:sz w:val="24"/>
        </w:rPr>
      </w:pPr>
      <w:bookmarkStart w:id="4" w:name="_Ref66140474"/>
      <w:r w:rsidRPr="00CF210F">
        <w:rPr>
          <w:sz w:val="24"/>
        </w:rPr>
        <w:t xml:space="preserve">Table </w:t>
      </w:r>
      <w:r w:rsidRPr="00CF210F">
        <w:rPr>
          <w:sz w:val="24"/>
        </w:rPr>
        <w:fldChar w:fldCharType="begin"/>
      </w:r>
      <w:r w:rsidRPr="00CF210F">
        <w:rPr>
          <w:sz w:val="24"/>
        </w:rPr>
        <w:instrText xml:space="preserve"> SEQ Table \* ARABIC </w:instrText>
      </w:r>
      <w:r w:rsidRPr="00CF210F">
        <w:rPr>
          <w:sz w:val="24"/>
        </w:rPr>
        <w:fldChar w:fldCharType="separate"/>
      </w:r>
      <w:r w:rsidR="000F6D23">
        <w:rPr>
          <w:noProof/>
          <w:sz w:val="24"/>
        </w:rPr>
        <w:t>5</w:t>
      </w:r>
      <w:r w:rsidRPr="00CF210F">
        <w:rPr>
          <w:sz w:val="24"/>
        </w:rPr>
        <w:fldChar w:fldCharType="end"/>
      </w:r>
      <w:bookmarkEnd w:id="4"/>
      <w:r w:rsidR="00CF210F">
        <w:rPr>
          <w:sz w:val="24"/>
        </w:rPr>
        <w:t xml:space="preserve">. </w:t>
      </w:r>
      <w:r w:rsidR="009C021B">
        <w:rPr>
          <w:sz w:val="24"/>
        </w:rPr>
        <w:t>Ongoing State Strategic Partner Coordination Strategies</w:t>
      </w:r>
    </w:p>
    <w:tbl>
      <w:tblPr>
        <w:tblStyle w:val="GridTable4-Accent51"/>
        <w:tblW w:w="0" w:type="auto"/>
        <w:tblLook w:val="04A0" w:firstRow="1" w:lastRow="0" w:firstColumn="1" w:lastColumn="0" w:noHBand="0" w:noVBand="1"/>
      </w:tblPr>
      <w:tblGrid>
        <w:gridCol w:w="2425"/>
        <w:gridCol w:w="6925"/>
      </w:tblGrid>
      <w:tr w:rsidR="003259C5" w:rsidRPr="00BD2859" w14:paraId="18892ED9" w14:textId="77777777"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88B9904" w14:textId="77777777" w:rsidR="003259C5" w:rsidRPr="00D6322D" w:rsidRDefault="003259C5" w:rsidP="00C92439">
            <w:pPr>
              <w:jc w:val="center"/>
              <w:rPr>
                <w:rFonts w:ascii="Calibri" w:eastAsia="Calibri" w:hAnsi="Calibri" w:cs="Calibri"/>
                <w:sz w:val="24"/>
                <w:szCs w:val="24"/>
                <w:lang w:val="en"/>
              </w:rPr>
            </w:pPr>
            <w:r w:rsidRPr="00D6322D">
              <w:rPr>
                <w:rFonts w:ascii="Calibri" w:eastAsia="Calibri" w:hAnsi="Calibri" w:cs="Calibri"/>
                <w:sz w:val="24"/>
                <w:szCs w:val="24"/>
                <w:lang w:val="en"/>
              </w:rPr>
              <w:t>OWDB Partner</w:t>
            </w:r>
          </w:p>
        </w:tc>
        <w:tc>
          <w:tcPr>
            <w:tcW w:w="6925" w:type="dxa"/>
          </w:tcPr>
          <w:p w14:paraId="2E79FA6F" w14:textId="77777777" w:rsidR="003259C5" w:rsidRPr="00D6322D" w:rsidRDefault="003259C5" w:rsidP="00C9243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Pr>
                <w:rFonts w:ascii="Calibri" w:eastAsia="Calibri" w:hAnsi="Calibri" w:cs="Calibri"/>
                <w:sz w:val="24"/>
                <w:szCs w:val="24"/>
                <w:lang w:val="en"/>
              </w:rPr>
              <w:t>Ongoing Collaborative Strategies</w:t>
            </w:r>
          </w:p>
        </w:tc>
      </w:tr>
      <w:tr w:rsidR="003259C5" w:rsidRPr="00BD2859" w14:paraId="09B55978" w14:textId="77777777" w:rsidTr="00C92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5261A94" w14:textId="762E3B79" w:rsidR="003259C5" w:rsidRPr="00D6322D" w:rsidRDefault="00DB7A6B" w:rsidP="00C92439">
            <w:pPr>
              <w:rPr>
                <w:rFonts w:ascii="Calibri" w:eastAsia="Calibri" w:hAnsi="Calibri" w:cs="Calibri"/>
                <w:b w:val="0"/>
                <w:sz w:val="24"/>
                <w:szCs w:val="24"/>
                <w:lang w:val="en"/>
              </w:rPr>
            </w:pPr>
            <w:r>
              <w:rPr>
                <w:rFonts w:ascii="Calibri" w:eastAsia="Calibri" w:hAnsi="Calibri" w:cs="Calibri"/>
                <w:b w:val="0"/>
                <w:sz w:val="24"/>
                <w:szCs w:val="24"/>
                <w:lang w:val="en"/>
              </w:rPr>
              <w:t>Alameda County Social Services Agency-</w:t>
            </w:r>
            <w:r w:rsidR="003259C5">
              <w:rPr>
                <w:rFonts w:ascii="Calibri" w:eastAsia="Calibri" w:hAnsi="Calibri" w:cs="Calibri"/>
                <w:b w:val="0"/>
                <w:sz w:val="24"/>
                <w:szCs w:val="24"/>
                <w:lang w:val="en"/>
              </w:rPr>
              <w:t>CalFresh Employment &amp; Training (E&amp;T)</w:t>
            </w:r>
          </w:p>
        </w:tc>
        <w:tc>
          <w:tcPr>
            <w:tcW w:w="6925" w:type="dxa"/>
          </w:tcPr>
          <w:p w14:paraId="61D67E8C" w14:textId="77777777" w:rsidR="003259C5" w:rsidRPr="00C22EB6" w:rsidRDefault="003259C5" w:rsidP="00C92439">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C22EB6">
              <w:rPr>
                <w:rFonts w:ascii="Calibri" w:hAnsi="Calibri"/>
                <w:color w:val="000000"/>
                <w:sz w:val="24"/>
                <w:szCs w:val="24"/>
              </w:rPr>
              <w:t xml:space="preserve">Assess the referral process from training providers and work to design improvements. </w:t>
            </w:r>
          </w:p>
          <w:p w14:paraId="7CC1B871" w14:textId="0FBA63C6" w:rsidR="003259C5" w:rsidRPr="00C22EB6" w:rsidRDefault="003259C5" w:rsidP="00C92439">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C22EB6">
              <w:rPr>
                <w:rFonts w:ascii="Calibri" w:hAnsi="Calibri"/>
                <w:color w:val="000000"/>
                <w:sz w:val="24"/>
                <w:szCs w:val="24"/>
              </w:rPr>
              <w:t>Work with WIOA providers to enhance marketing materials used by CalFresh E&amp;T</w:t>
            </w:r>
            <w:r>
              <w:rPr>
                <w:rFonts w:ascii="Calibri" w:hAnsi="Calibri"/>
                <w:color w:val="000000"/>
                <w:sz w:val="24"/>
                <w:szCs w:val="24"/>
              </w:rPr>
              <w:t xml:space="preserve">, including launching digital </w:t>
            </w:r>
            <w:r w:rsidR="0039285A">
              <w:rPr>
                <w:rFonts w:ascii="Calibri" w:hAnsi="Calibri"/>
                <w:color w:val="000000"/>
                <w:sz w:val="24"/>
                <w:szCs w:val="24"/>
              </w:rPr>
              <w:t>campaigns.</w:t>
            </w:r>
          </w:p>
          <w:p w14:paraId="2ECDC35C" w14:textId="77777777" w:rsidR="003259C5" w:rsidRPr="00C22EB6" w:rsidRDefault="003259C5" w:rsidP="00C92439">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C22EB6">
              <w:rPr>
                <w:rFonts w:ascii="Calibri" w:hAnsi="Calibri"/>
                <w:color w:val="000000"/>
                <w:sz w:val="24"/>
                <w:szCs w:val="24"/>
              </w:rPr>
              <w:t xml:space="preserve">Invite third-party CalFresh E&amp;T providers to participate in partner meetings held by the One-Stop Operator. </w:t>
            </w:r>
          </w:p>
          <w:p w14:paraId="26CC6116" w14:textId="77777777" w:rsidR="003259C5" w:rsidRPr="00C22EB6" w:rsidRDefault="003259C5" w:rsidP="00C92439">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C22EB6">
              <w:rPr>
                <w:rFonts w:ascii="Calibri" w:hAnsi="Calibri"/>
                <w:color w:val="000000"/>
                <w:sz w:val="24"/>
                <w:szCs w:val="24"/>
              </w:rPr>
              <w:t xml:space="preserve">Continue to work with partners providing job readiness services </w:t>
            </w:r>
          </w:p>
        </w:tc>
      </w:tr>
      <w:tr w:rsidR="0097638A" w:rsidRPr="00BD2859" w14:paraId="717C2816" w14:textId="77777777" w:rsidTr="00C92439">
        <w:tc>
          <w:tcPr>
            <w:cnfStyle w:val="001000000000" w:firstRow="0" w:lastRow="0" w:firstColumn="1" w:lastColumn="0" w:oddVBand="0" w:evenVBand="0" w:oddHBand="0" w:evenHBand="0" w:firstRowFirstColumn="0" w:firstRowLastColumn="0" w:lastRowFirstColumn="0" w:lastRowLastColumn="0"/>
            <w:tcW w:w="2425" w:type="dxa"/>
          </w:tcPr>
          <w:p w14:paraId="341D4426" w14:textId="024230AD" w:rsidR="0097638A" w:rsidRDefault="0097638A" w:rsidP="0097638A">
            <w:pPr>
              <w:rPr>
                <w:rFonts w:ascii="Calibri" w:eastAsia="Calibri" w:hAnsi="Calibri" w:cs="Calibri"/>
                <w:b w:val="0"/>
                <w:lang w:val="en"/>
              </w:rPr>
            </w:pPr>
            <w:r w:rsidRPr="00D6322D">
              <w:rPr>
                <w:rFonts w:ascii="Calibri" w:eastAsia="Calibri" w:hAnsi="Calibri" w:cs="Calibri"/>
                <w:b w:val="0"/>
                <w:sz w:val="24"/>
                <w:szCs w:val="24"/>
                <w:lang w:val="en"/>
              </w:rPr>
              <w:t xml:space="preserve">California Department of Rehabilitation (DOR) </w:t>
            </w:r>
          </w:p>
        </w:tc>
        <w:tc>
          <w:tcPr>
            <w:tcW w:w="6925" w:type="dxa"/>
          </w:tcPr>
          <w:p w14:paraId="405212DF" w14:textId="20315EA0" w:rsidR="0097638A" w:rsidRPr="008C3888" w:rsidRDefault="0097638A" w:rsidP="008C3888">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Pr>
                <w:rFonts w:ascii="Calibri" w:hAnsi="Calibri"/>
                <w:color w:val="000000"/>
                <w:sz w:val="24"/>
                <w:szCs w:val="24"/>
              </w:rPr>
              <w:t>Continue</w:t>
            </w:r>
            <w:r w:rsidRPr="00CF2531">
              <w:rPr>
                <w:rFonts w:ascii="Calibri" w:hAnsi="Calibri"/>
                <w:color w:val="000000"/>
                <w:sz w:val="24"/>
                <w:szCs w:val="24"/>
              </w:rPr>
              <w:t xml:space="preserve"> agreements with DOR to include resource commitments for increasing Competitive Integrated Employment (CIE) opportunities for people with </w:t>
            </w:r>
            <w:r w:rsidR="008C3888" w:rsidRPr="00CF2531">
              <w:rPr>
                <w:rFonts w:ascii="Calibri" w:hAnsi="Calibri"/>
                <w:color w:val="000000"/>
                <w:sz w:val="24"/>
                <w:szCs w:val="24"/>
              </w:rPr>
              <w:t xml:space="preserve">intellectual or developmental </w:t>
            </w:r>
            <w:r w:rsidR="0039285A" w:rsidRPr="00CF2531">
              <w:rPr>
                <w:rFonts w:ascii="Calibri" w:hAnsi="Calibri"/>
                <w:color w:val="000000"/>
                <w:sz w:val="24"/>
                <w:szCs w:val="24"/>
              </w:rPr>
              <w:t>disabilities.</w:t>
            </w:r>
          </w:p>
          <w:p w14:paraId="27AACD6E" w14:textId="736FB7A8" w:rsidR="0097638A" w:rsidRPr="00CF2531"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CF2531">
              <w:rPr>
                <w:rFonts w:ascii="Calibri" w:hAnsi="Calibri"/>
                <w:color w:val="000000"/>
                <w:sz w:val="24"/>
                <w:szCs w:val="24"/>
              </w:rPr>
              <w:t xml:space="preserve">Train staff to meet needs of </w:t>
            </w:r>
            <w:r w:rsidR="000402E0">
              <w:rPr>
                <w:rFonts w:ascii="Calibri" w:hAnsi="Calibri"/>
                <w:color w:val="000000"/>
                <w:sz w:val="24"/>
                <w:szCs w:val="24"/>
              </w:rPr>
              <w:t>job seeker</w:t>
            </w:r>
            <w:r w:rsidRPr="00CF2531">
              <w:rPr>
                <w:rFonts w:ascii="Calibri" w:hAnsi="Calibri"/>
                <w:color w:val="000000"/>
                <w:sz w:val="24"/>
                <w:szCs w:val="24"/>
              </w:rPr>
              <w:t xml:space="preserve">s with intellectual or developmental </w:t>
            </w:r>
            <w:r w:rsidR="0039285A" w:rsidRPr="00CF2531">
              <w:rPr>
                <w:rFonts w:ascii="Calibri" w:hAnsi="Calibri"/>
                <w:color w:val="000000"/>
                <w:sz w:val="24"/>
                <w:szCs w:val="24"/>
              </w:rPr>
              <w:t>disabilities.</w:t>
            </w:r>
          </w:p>
          <w:p w14:paraId="08BCD7A2" w14:textId="4EB80319" w:rsidR="008C3888" w:rsidRPr="00CF2531" w:rsidRDefault="0097638A" w:rsidP="008C3888">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CF2531">
              <w:rPr>
                <w:rFonts w:ascii="Calibri" w:hAnsi="Calibri"/>
                <w:color w:val="000000"/>
                <w:sz w:val="24"/>
                <w:szCs w:val="24"/>
              </w:rPr>
              <w:t xml:space="preserve">Strengthen referral processes between organizations for </w:t>
            </w:r>
            <w:r w:rsidR="000402E0">
              <w:rPr>
                <w:rFonts w:ascii="Calibri" w:hAnsi="Calibri"/>
                <w:color w:val="000000"/>
                <w:sz w:val="24"/>
                <w:szCs w:val="24"/>
              </w:rPr>
              <w:t>job seeker</w:t>
            </w:r>
            <w:r w:rsidR="008C3888" w:rsidRPr="00CF2531">
              <w:rPr>
                <w:rFonts w:ascii="Calibri" w:hAnsi="Calibri"/>
                <w:color w:val="000000"/>
                <w:sz w:val="24"/>
                <w:szCs w:val="24"/>
              </w:rPr>
              <w:t xml:space="preserve">s with intellectual or developmental </w:t>
            </w:r>
            <w:r w:rsidR="0039285A" w:rsidRPr="00CF2531">
              <w:rPr>
                <w:rFonts w:ascii="Calibri" w:hAnsi="Calibri"/>
                <w:color w:val="000000"/>
                <w:sz w:val="24"/>
                <w:szCs w:val="24"/>
              </w:rPr>
              <w:t>disabilities.</w:t>
            </w:r>
          </w:p>
          <w:p w14:paraId="0086846B" w14:textId="4BBB0AF1" w:rsidR="0097638A" w:rsidRPr="00CF2531"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CF2531">
              <w:rPr>
                <w:rFonts w:ascii="Calibri" w:hAnsi="Calibri"/>
                <w:color w:val="000000"/>
                <w:sz w:val="24"/>
                <w:szCs w:val="24"/>
              </w:rPr>
              <w:lastRenderedPageBreak/>
              <w:t>Provide job coaching for clients based on Individualized Plan for Employment</w:t>
            </w:r>
            <w:r w:rsidR="0039285A">
              <w:rPr>
                <w:rFonts w:ascii="Calibri" w:hAnsi="Calibri"/>
                <w:color w:val="000000"/>
                <w:sz w:val="24"/>
                <w:szCs w:val="24"/>
              </w:rPr>
              <w:t>.</w:t>
            </w:r>
          </w:p>
          <w:p w14:paraId="61CC30E2" w14:textId="619F9C63" w:rsidR="0097638A" w:rsidRPr="008C3888" w:rsidRDefault="0097638A" w:rsidP="008C3888">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CF2531">
              <w:rPr>
                <w:rFonts w:ascii="Calibri" w:hAnsi="Calibri"/>
                <w:color w:val="000000"/>
                <w:sz w:val="24"/>
                <w:szCs w:val="24"/>
              </w:rPr>
              <w:t xml:space="preserve">Educate and inform employers on hiring (benefits, accommodations) </w:t>
            </w:r>
            <w:r w:rsidR="000402E0">
              <w:rPr>
                <w:rFonts w:ascii="Calibri" w:hAnsi="Calibri"/>
                <w:color w:val="000000"/>
                <w:sz w:val="24"/>
                <w:szCs w:val="24"/>
              </w:rPr>
              <w:t>job seeker</w:t>
            </w:r>
            <w:r w:rsidR="008C3888" w:rsidRPr="00CF2531">
              <w:rPr>
                <w:rFonts w:ascii="Calibri" w:hAnsi="Calibri"/>
                <w:color w:val="000000"/>
                <w:sz w:val="24"/>
                <w:szCs w:val="24"/>
              </w:rPr>
              <w:t>s with intellectual or developmental disabilities</w:t>
            </w:r>
            <w:r w:rsidR="0039285A">
              <w:rPr>
                <w:rFonts w:ascii="Calibri" w:hAnsi="Calibri"/>
                <w:color w:val="000000"/>
                <w:sz w:val="24"/>
                <w:szCs w:val="24"/>
              </w:rPr>
              <w:t>.</w:t>
            </w:r>
          </w:p>
        </w:tc>
      </w:tr>
      <w:tr w:rsidR="0097638A" w:rsidRPr="00BD2859" w14:paraId="08C4888C" w14:textId="77777777" w:rsidTr="00C92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D360738" w14:textId="62009B8F" w:rsidR="0097638A" w:rsidRPr="00D6322D" w:rsidRDefault="00E064C4" w:rsidP="0097638A">
            <w:pPr>
              <w:rPr>
                <w:rFonts w:ascii="Calibri" w:eastAsia="Calibri" w:hAnsi="Calibri" w:cs="Calibri"/>
                <w:b w:val="0"/>
                <w:sz w:val="24"/>
                <w:szCs w:val="24"/>
                <w:lang w:val="en"/>
              </w:rPr>
            </w:pPr>
            <w:r>
              <w:rPr>
                <w:rFonts w:ascii="Calibri" w:eastAsia="Calibri" w:hAnsi="Calibri" w:cs="Calibri"/>
                <w:b w:val="0"/>
                <w:sz w:val="24"/>
                <w:szCs w:val="24"/>
                <w:lang w:val="en"/>
              </w:rPr>
              <w:lastRenderedPageBreak/>
              <w:t xml:space="preserve">Alameda County Department of </w:t>
            </w:r>
            <w:r w:rsidR="0097638A">
              <w:rPr>
                <w:rFonts w:ascii="Calibri" w:eastAsia="Calibri" w:hAnsi="Calibri" w:cs="Calibri"/>
                <w:b w:val="0"/>
                <w:sz w:val="24"/>
                <w:szCs w:val="24"/>
                <w:lang w:val="en"/>
              </w:rPr>
              <w:t>Child Support Services</w:t>
            </w:r>
            <w:r>
              <w:rPr>
                <w:rFonts w:ascii="Calibri" w:eastAsia="Calibri" w:hAnsi="Calibri" w:cs="Calibri"/>
                <w:b w:val="0"/>
                <w:sz w:val="24"/>
                <w:szCs w:val="24"/>
                <w:lang w:val="en"/>
              </w:rPr>
              <w:t xml:space="preserve"> </w:t>
            </w:r>
            <w:r w:rsidRPr="00E064C4">
              <w:rPr>
                <w:rFonts w:ascii="Calibri" w:eastAsia="Calibri" w:hAnsi="Calibri" w:cs="Calibri"/>
                <w:b w:val="0"/>
                <w:sz w:val="24"/>
                <w:szCs w:val="24"/>
                <w:lang w:val="en"/>
              </w:rPr>
              <w:t>(</w:t>
            </w:r>
            <w:r w:rsidRPr="00E064C4">
              <w:rPr>
                <w:rFonts w:ascii="Calibri" w:hAnsi="Calibri"/>
                <w:b w:val="0"/>
                <w:color w:val="000000"/>
                <w:sz w:val="24"/>
                <w:szCs w:val="24"/>
              </w:rPr>
              <w:t>ACDCSS</w:t>
            </w:r>
            <w:r w:rsidRPr="00E064C4">
              <w:rPr>
                <w:rFonts w:ascii="Calibri" w:eastAsia="Calibri" w:hAnsi="Calibri" w:cs="Calibri"/>
                <w:b w:val="0"/>
                <w:sz w:val="24"/>
                <w:szCs w:val="24"/>
                <w:lang w:val="en"/>
              </w:rPr>
              <w:t>)</w:t>
            </w:r>
          </w:p>
          <w:p w14:paraId="6CBFB2C7" w14:textId="77777777" w:rsidR="0097638A" w:rsidRPr="00D6322D" w:rsidRDefault="0097638A" w:rsidP="0097638A">
            <w:pPr>
              <w:rPr>
                <w:rFonts w:ascii="Calibri" w:eastAsia="Calibri" w:hAnsi="Calibri" w:cs="Calibri"/>
                <w:b w:val="0"/>
                <w:sz w:val="24"/>
                <w:szCs w:val="24"/>
                <w:lang w:val="en"/>
              </w:rPr>
            </w:pPr>
          </w:p>
        </w:tc>
        <w:tc>
          <w:tcPr>
            <w:tcW w:w="6925" w:type="dxa"/>
          </w:tcPr>
          <w:p w14:paraId="48B81C2D" w14:textId="77777777"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 xml:space="preserve">Place WIOA program materials with ACDCSS staff, case workers, call center representatives, etc. </w:t>
            </w:r>
          </w:p>
          <w:p w14:paraId="5A1DC5FC" w14:textId="1EE34F83"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Work with family court to outline structured workforce goals for Z</w:t>
            </w:r>
            <w:r w:rsidR="0039285A">
              <w:rPr>
                <w:rFonts w:ascii="Calibri" w:hAnsi="Calibri"/>
                <w:color w:val="000000"/>
                <w:sz w:val="24"/>
                <w:szCs w:val="24"/>
              </w:rPr>
              <w:t xml:space="preserve">ero Income </w:t>
            </w:r>
            <w:r w:rsidRPr="003337D3">
              <w:rPr>
                <w:rFonts w:ascii="Calibri" w:hAnsi="Calibri"/>
                <w:color w:val="000000"/>
                <w:sz w:val="24"/>
                <w:szCs w:val="24"/>
              </w:rPr>
              <w:t>C</w:t>
            </w:r>
            <w:r w:rsidR="0039285A">
              <w:rPr>
                <w:rFonts w:ascii="Calibri" w:hAnsi="Calibri"/>
                <w:color w:val="000000"/>
                <w:sz w:val="24"/>
                <w:szCs w:val="24"/>
              </w:rPr>
              <w:t xml:space="preserve">ourt </w:t>
            </w:r>
            <w:r w:rsidRPr="003337D3">
              <w:rPr>
                <w:rFonts w:ascii="Calibri" w:hAnsi="Calibri"/>
                <w:color w:val="000000"/>
                <w:sz w:val="24"/>
                <w:szCs w:val="24"/>
              </w:rPr>
              <w:t>O</w:t>
            </w:r>
            <w:r w:rsidR="0039285A">
              <w:rPr>
                <w:rFonts w:ascii="Calibri" w:hAnsi="Calibri"/>
                <w:color w:val="000000"/>
                <w:sz w:val="24"/>
                <w:szCs w:val="24"/>
              </w:rPr>
              <w:t>rder</w:t>
            </w:r>
            <w:r w:rsidRPr="003337D3">
              <w:rPr>
                <w:rFonts w:ascii="Calibri" w:hAnsi="Calibri"/>
                <w:color w:val="000000"/>
                <w:sz w:val="24"/>
                <w:szCs w:val="24"/>
              </w:rPr>
              <w:t xml:space="preserve"> </w:t>
            </w:r>
            <w:r w:rsidR="0039285A" w:rsidRPr="003337D3">
              <w:rPr>
                <w:rFonts w:ascii="Calibri" w:hAnsi="Calibri"/>
                <w:color w:val="000000"/>
                <w:sz w:val="24"/>
                <w:szCs w:val="24"/>
              </w:rPr>
              <w:t>clients.</w:t>
            </w:r>
          </w:p>
          <w:p w14:paraId="43413F78" w14:textId="36492590"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Refer payment</w:t>
            </w:r>
            <w:r w:rsidR="0086065A">
              <w:rPr>
                <w:rFonts w:ascii="Calibri" w:hAnsi="Calibri"/>
                <w:color w:val="000000"/>
                <w:sz w:val="24"/>
                <w:szCs w:val="24"/>
              </w:rPr>
              <w:t>-</w:t>
            </w:r>
            <w:r w:rsidRPr="003337D3">
              <w:rPr>
                <w:rFonts w:ascii="Calibri" w:hAnsi="Calibri"/>
                <w:color w:val="000000"/>
                <w:sz w:val="24"/>
                <w:szCs w:val="24"/>
              </w:rPr>
              <w:t>delinquent clients to workshops for career advancement and skill development (those ineligible for WIOA services)</w:t>
            </w:r>
          </w:p>
          <w:p w14:paraId="392CC027" w14:textId="7A6DD1AD"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 xml:space="preserve">Facilitate informational sessions for call center and caseworkers to increase understanding of available programs and </w:t>
            </w:r>
            <w:r w:rsidR="0039285A" w:rsidRPr="003337D3">
              <w:rPr>
                <w:rFonts w:ascii="Calibri" w:hAnsi="Calibri"/>
                <w:color w:val="000000"/>
                <w:sz w:val="24"/>
                <w:szCs w:val="24"/>
              </w:rPr>
              <w:t>services.</w:t>
            </w:r>
            <w:r w:rsidRPr="003337D3">
              <w:rPr>
                <w:rFonts w:ascii="Calibri" w:hAnsi="Calibri"/>
                <w:color w:val="000000"/>
                <w:sz w:val="24"/>
                <w:szCs w:val="24"/>
              </w:rPr>
              <w:t xml:space="preserve"> </w:t>
            </w:r>
          </w:p>
          <w:p w14:paraId="04D45EAE" w14:textId="6359C5B6"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Explore a pilot program that offers "condition of participation" to support payment</w:t>
            </w:r>
            <w:r w:rsidR="0086065A">
              <w:rPr>
                <w:rFonts w:ascii="Calibri" w:hAnsi="Calibri"/>
                <w:color w:val="000000"/>
                <w:sz w:val="24"/>
                <w:szCs w:val="24"/>
              </w:rPr>
              <w:t>-</w:t>
            </w:r>
            <w:r w:rsidRPr="003337D3">
              <w:rPr>
                <w:rFonts w:ascii="Calibri" w:hAnsi="Calibri"/>
                <w:color w:val="000000"/>
                <w:sz w:val="24"/>
                <w:szCs w:val="24"/>
              </w:rPr>
              <w:t>delinquent non-custodial parents by offering a grace period and suppressing enforcement actions</w:t>
            </w:r>
            <w:r w:rsidR="0039285A">
              <w:rPr>
                <w:rFonts w:ascii="Calibri" w:hAnsi="Calibri"/>
                <w:color w:val="000000"/>
                <w:sz w:val="24"/>
                <w:szCs w:val="24"/>
              </w:rPr>
              <w:t>.</w:t>
            </w:r>
          </w:p>
          <w:p w14:paraId="6240E9C3" w14:textId="6211E3B7"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Establish communication and progress monitoring protocols to properly track ACDCSS client progress</w:t>
            </w:r>
            <w:r w:rsidR="0039285A">
              <w:rPr>
                <w:rFonts w:ascii="Calibri" w:hAnsi="Calibri"/>
                <w:color w:val="000000"/>
                <w:sz w:val="24"/>
                <w:szCs w:val="24"/>
              </w:rPr>
              <w:t>.</w:t>
            </w:r>
          </w:p>
          <w:p w14:paraId="24223154" w14:textId="0602B5FB"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Explore self-employment pathways for clients interested in entrepreneurship</w:t>
            </w:r>
            <w:r w:rsidR="0039285A">
              <w:rPr>
                <w:rFonts w:ascii="Calibri" w:hAnsi="Calibri"/>
                <w:color w:val="000000"/>
                <w:sz w:val="24"/>
                <w:szCs w:val="24"/>
              </w:rPr>
              <w:t>.</w:t>
            </w:r>
          </w:p>
          <w:p w14:paraId="4ECB2347" w14:textId="310C1003"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 xml:space="preserve">Establish direct referral systems from </w:t>
            </w:r>
            <w:r w:rsidR="00080DF8">
              <w:rPr>
                <w:rFonts w:ascii="Calibri" w:hAnsi="Calibri"/>
                <w:color w:val="000000"/>
                <w:sz w:val="24"/>
                <w:szCs w:val="24"/>
              </w:rPr>
              <w:t xml:space="preserve">the local Child Support Agency </w:t>
            </w:r>
            <w:r w:rsidRPr="003337D3">
              <w:rPr>
                <w:rFonts w:ascii="Calibri" w:hAnsi="Calibri"/>
                <w:color w:val="000000"/>
                <w:sz w:val="24"/>
                <w:szCs w:val="24"/>
              </w:rPr>
              <w:t>and family courts to local AJCC sites</w:t>
            </w:r>
            <w:r w:rsidR="0039285A">
              <w:rPr>
                <w:rFonts w:ascii="Calibri" w:hAnsi="Calibri"/>
                <w:color w:val="000000"/>
                <w:sz w:val="24"/>
                <w:szCs w:val="24"/>
              </w:rPr>
              <w:t>.</w:t>
            </w:r>
          </w:p>
          <w:p w14:paraId="113A686B" w14:textId="27E838D7" w:rsidR="0097638A" w:rsidRPr="003337D3" w:rsidRDefault="0097638A" w:rsidP="0097638A">
            <w:pPr>
              <w:pStyle w:val="NormalWeb"/>
              <w:numPr>
                <w:ilvl w:val="0"/>
                <w:numId w:val="23"/>
              </w:numPr>
              <w:spacing w:before="0" w:beforeAutospacing="0" w:after="0" w:afterAutospacing="0"/>
              <w:ind w:left="350"/>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3337D3">
              <w:rPr>
                <w:rFonts w:ascii="Calibri" w:hAnsi="Calibri"/>
                <w:color w:val="000000"/>
                <w:sz w:val="24"/>
                <w:szCs w:val="24"/>
              </w:rPr>
              <w:t>Collect customer feedback on 211.org referral system to refine</w:t>
            </w:r>
            <w:r w:rsidR="0090015B">
              <w:rPr>
                <w:rFonts w:ascii="Calibri" w:hAnsi="Calibri"/>
                <w:color w:val="000000"/>
                <w:sz w:val="24"/>
                <w:szCs w:val="24"/>
              </w:rPr>
              <w:t xml:space="preserve"> or </w:t>
            </w:r>
            <w:r w:rsidRPr="003337D3">
              <w:rPr>
                <w:rFonts w:ascii="Calibri" w:hAnsi="Calibri"/>
                <w:color w:val="000000"/>
                <w:sz w:val="24"/>
                <w:szCs w:val="24"/>
              </w:rPr>
              <w:t xml:space="preserve">modify direct referral processes </w:t>
            </w:r>
          </w:p>
        </w:tc>
      </w:tr>
      <w:tr w:rsidR="0097638A" w:rsidRPr="00BD2859" w14:paraId="0375E4C6" w14:textId="77777777" w:rsidTr="00C92439">
        <w:tc>
          <w:tcPr>
            <w:cnfStyle w:val="001000000000" w:firstRow="0" w:lastRow="0" w:firstColumn="1" w:lastColumn="0" w:oddVBand="0" w:evenVBand="0" w:oddHBand="0" w:evenHBand="0" w:firstRowFirstColumn="0" w:firstRowLastColumn="0" w:lastRowFirstColumn="0" w:lastRowLastColumn="0"/>
            <w:tcW w:w="2425" w:type="dxa"/>
          </w:tcPr>
          <w:p w14:paraId="76B714C2" w14:textId="661D5032" w:rsidR="0097638A" w:rsidRPr="00D6322D" w:rsidRDefault="00DB7A6B" w:rsidP="0097638A">
            <w:pPr>
              <w:rPr>
                <w:rFonts w:ascii="Calibri" w:eastAsia="Calibri" w:hAnsi="Calibri" w:cs="Calibri"/>
                <w:b w:val="0"/>
                <w:sz w:val="24"/>
                <w:szCs w:val="24"/>
                <w:lang w:val="en"/>
              </w:rPr>
            </w:pPr>
            <w:r>
              <w:rPr>
                <w:rFonts w:ascii="Calibri" w:eastAsia="Calibri" w:hAnsi="Calibri" w:cs="Calibri"/>
                <w:b w:val="0"/>
                <w:sz w:val="24"/>
                <w:szCs w:val="24"/>
                <w:lang w:val="en"/>
              </w:rPr>
              <w:t>Alameda County Social Services</w:t>
            </w:r>
            <w:r w:rsidRPr="007A14F8">
              <w:rPr>
                <w:rFonts w:ascii="Calibri" w:eastAsia="Calibri" w:hAnsi="Calibri" w:cs="Calibri"/>
                <w:b w:val="0"/>
                <w:sz w:val="24"/>
                <w:szCs w:val="24"/>
                <w:lang w:val="en"/>
              </w:rPr>
              <w:t xml:space="preserve"> </w:t>
            </w:r>
            <w:r>
              <w:rPr>
                <w:rFonts w:ascii="Calibri" w:eastAsia="Calibri" w:hAnsi="Calibri" w:cs="Calibri"/>
                <w:b w:val="0"/>
                <w:sz w:val="24"/>
                <w:szCs w:val="24"/>
                <w:lang w:val="en"/>
              </w:rPr>
              <w:t>Agency-</w:t>
            </w:r>
            <w:r w:rsidR="0097638A" w:rsidRPr="007A14F8">
              <w:rPr>
                <w:rFonts w:ascii="Calibri" w:eastAsia="Calibri" w:hAnsi="Calibri" w:cs="Calibri"/>
                <w:b w:val="0"/>
                <w:sz w:val="24"/>
                <w:szCs w:val="24"/>
                <w:lang w:val="en"/>
              </w:rPr>
              <w:t xml:space="preserve">Refugee Social </w:t>
            </w:r>
            <w:r w:rsidR="0097638A" w:rsidRPr="0039285A">
              <w:rPr>
                <w:rFonts w:ascii="Calibri" w:eastAsia="Calibri" w:hAnsi="Calibri" w:cs="Calibri"/>
                <w:b w:val="0"/>
                <w:sz w:val="24"/>
                <w:szCs w:val="24"/>
                <w:lang w:val="en"/>
              </w:rPr>
              <w:t>Services &amp; E</w:t>
            </w:r>
            <w:r w:rsidR="0039285A" w:rsidRPr="0039285A">
              <w:rPr>
                <w:rFonts w:ascii="Calibri" w:eastAsia="Calibri" w:hAnsi="Calibri" w:cs="Calibri"/>
                <w:b w:val="0"/>
                <w:sz w:val="24"/>
                <w:szCs w:val="24"/>
                <w:lang w:val="en"/>
              </w:rPr>
              <w:t xml:space="preserve">nglish </w:t>
            </w:r>
            <w:r w:rsidR="0097638A" w:rsidRPr="0039285A">
              <w:rPr>
                <w:rFonts w:ascii="Calibri" w:eastAsia="Calibri" w:hAnsi="Calibri" w:cs="Calibri"/>
                <w:b w:val="0"/>
                <w:sz w:val="24"/>
                <w:szCs w:val="24"/>
                <w:lang w:val="en"/>
              </w:rPr>
              <w:t>L</w:t>
            </w:r>
            <w:r w:rsidR="0039285A" w:rsidRPr="0039285A">
              <w:rPr>
                <w:rFonts w:ascii="Calibri" w:eastAsia="Calibri" w:hAnsi="Calibri" w:cs="Calibri"/>
                <w:b w:val="0"/>
                <w:sz w:val="24"/>
                <w:szCs w:val="24"/>
                <w:lang w:val="en"/>
              </w:rPr>
              <w:t>anguage Learner</w:t>
            </w:r>
            <w:r w:rsidR="001B0855">
              <w:rPr>
                <w:rFonts w:ascii="Calibri" w:eastAsia="Calibri" w:hAnsi="Calibri" w:cs="Calibri"/>
                <w:b w:val="0"/>
                <w:sz w:val="24"/>
                <w:szCs w:val="24"/>
                <w:lang w:val="en"/>
              </w:rPr>
              <w:t xml:space="preserve"> </w:t>
            </w:r>
            <w:r w:rsidR="0039285A">
              <w:rPr>
                <w:rFonts w:ascii="Calibri" w:eastAsia="Calibri" w:hAnsi="Calibri" w:cs="Calibri"/>
                <w:b w:val="0"/>
                <w:sz w:val="24"/>
                <w:szCs w:val="24"/>
                <w:lang w:val="en"/>
              </w:rPr>
              <w:t>(ELL)</w:t>
            </w:r>
            <w:r w:rsidR="0097638A" w:rsidRPr="007A14F8">
              <w:rPr>
                <w:rFonts w:ascii="Calibri" w:eastAsia="Calibri" w:hAnsi="Calibri" w:cs="Calibri"/>
                <w:b w:val="0"/>
                <w:sz w:val="24"/>
                <w:szCs w:val="24"/>
                <w:lang w:val="en"/>
              </w:rPr>
              <w:t>Service Providers</w:t>
            </w:r>
            <w:r w:rsidR="0097638A" w:rsidRPr="00D6322D">
              <w:rPr>
                <w:rFonts w:ascii="Calibri" w:eastAsia="Calibri" w:hAnsi="Calibri" w:cs="Calibri"/>
                <w:b w:val="0"/>
                <w:sz w:val="24"/>
                <w:szCs w:val="24"/>
                <w:lang w:val="en"/>
              </w:rPr>
              <w:t xml:space="preserve"> </w:t>
            </w:r>
          </w:p>
        </w:tc>
        <w:tc>
          <w:tcPr>
            <w:tcW w:w="6925" w:type="dxa"/>
          </w:tcPr>
          <w:p w14:paraId="2871AE5D" w14:textId="77777777" w:rsidR="0097638A" w:rsidRPr="007A14F8"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7A14F8">
              <w:rPr>
                <w:rFonts w:ascii="Calibri" w:hAnsi="Calibri"/>
                <w:color w:val="000000"/>
                <w:sz w:val="24"/>
                <w:szCs w:val="24"/>
              </w:rPr>
              <w:t xml:space="preserve">Convene a series of information sharing sessions for WIOA and Refugee Social Services and Targeted Assistance, and ELP service providers to understand programs, eligibility requirements, share employer information, and develop processes for co-enrollment and retention. </w:t>
            </w:r>
          </w:p>
          <w:p w14:paraId="2C3AF56F" w14:textId="419D6A2C" w:rsidR="0097638A" w:rsidRPr="007A14F8"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7A14F8">
              <w:rPr>
                <w:rFonts w:ascii="Calibri" w:hAnsi="Calibri"/>
                <w:color w:val="000000"/>
                <w:sz w:val="24"/>
                <w:szCs w:val="24"/>
              </w:rPr>
              <w:t>Invite EL</w:t>
            </w:r>
            <w:r w:rsidR="0039285A">
              <w:rPr>
                <w:rFonts w:ascii="Calibri" w:hAnsi="Calibri"/>
                <w:color w:val="000000"/>
                <w:sz w:val="24"/>
                <w:szCs w:val="24"/>
              </w:rPr>
              <w:t>L</w:t>
            </w:r>
            <w:r w:rsidRPr="007A14F8">
              <w:rPr>
                <w:rFonts w:ascii="Calibri" w:hAnsi="Calibri"/>
                <w:color w:val="000000"/>
                <w:sz w:val="24"/>
                <w:szCs w:val="24"/>
              </w:rPr>
              <w:t xml:space="preserve"> network providers to participate in AJCC partner meetings coordinated by the One Stop Operator</w:t>
            </w:r>
          </w:p>
          <w:p w14:paraId="6CE68062" w14:textId="77777777" w:rsidR="0097638A" w:rsidRPr="007A14F8"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7A14F8">
              <w:rPr>
                <w:rFonts w:ascii="Calibri" w:hAnsi="Calibri"/>
                <w:color w:val="000000"/>
                <w:sz w:val="24"/>
                <w:szCs w:val="24"/>
              </w:rPr>
              <w:t>Participate in ACSSA quarterly career services meetings and the East Bay Refugee Forum Meetings</w:t>
            </w:r>
          </w:p>
          <w:p w14:paraId="61D8205E" w14:textId="04A13998" w:rsidR="0097638A" w:rsidRPr="007A14F8"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7A14F8">
              <w:rPr>
                <w:rFonts w:ascii="Calibri" w:hAnsi="Calibri"/>
                <w:color w:val="000000"/>
                <w:sz w:val="24"/>
                <w:szCs w:val="24"/>
              </w:rPr>
              <w:t xml:space="preserve">Service providers will develop culturally specific workshops designed for ELP clients to learn about regional career pathways programs and education programs (adult schools, community colleges) that are aligned with high-growth occupations to retain this </w:t>
            </w:r>
            <w:r w:rsidR="001B0855" w:rsidRPr="007A14F8">
              <w:rPr>
                <w:rFonts w:ascii="Calibri" w:hAnsi="Calibri"/>
                <w:color w:val="000000"/>
                <w:sz w:val="24"/>
                <w:szCs w:val="24"/>
              </w:rPr>
              <w:t>population.</w:t>
            </w:r>
          </w:p>
          <w:p w14:paraId="68A455A1" w14:textId="37E8D603" w:rsidR="0097638A" w:rsidRPr="00BD2859" w:rsidRDefault="0097638A" w:rsidP="0097638A">
            <w:pPr>
              <w:pStyle w:val="NormalWeb"/>
              <w:numPr>
                <w:ilvl w:val="0"/>
                <w:numId w:val="23"/>
              </w:numPr>
              <w:spacing w:before="0" w:beforeAutospacing="0" w:after="0" w:afterAutospacing="0"/>
              <w:ind w:left="350"/>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7A14F8">
              <w:rPr>
                <w:rFonts w:ascii="Calibri" w:hAnsi="Calibri"/>
                <w:color w:val="000000"/>
                <w:sz w:val="24"/>
                <w:szCs w:val="24"/>
              </w:rPr>
              <w:t>Identify middle-skill occupations for program participants and provide access to training and certifications</w:t>
            </w:r>
          </w:p>
        </w:tc>
      </w:tr>
    </w:tbl>
    <w:p w14:paraId="1475B5D2" w14:textId="77777777" w:rsidR="00CD495E" w:rsidRDefault="00CD495E" w:rsidP="00CD495E">
      <w:pPr>
        <w:jc w:val="both"/>
      </w:pPr>
    </w:p>
    <w:p w14:paraId="3A8F0C04" w14:textId="52E5D4EC" w:rsidR="00836F1A" w:rsidRDefault="009C20CB" w:rsidP="00836F1A">
      <w:pPr>
        <w:jc w:val="both"/>
        <w:rPr>
          <w:rFonts w:ascii="Calibri" w:eastAsia="Calibri" w:hAnsi="Calibri" w:cs="Calibri"/>
          <w:highlight w:val="yellow"/>
        </w:rPr>
      </w:pPr>
      <w:r>
        <w:rPr>
          <w:rFonts w:ascii="Calibri" w:eastAsia="Calibri" w:hAnsi="Calibri" w:cs="Calibri"/>
        </w:rPr>
        <w:lastRenderedPageBreak/>
        <w:t>In public meetings with Oakland community members during the PY21-24 Local Plan planning process, OWDB and community stakeholders identified emergent priority areas.</w:t>
      </w:r>
      <w:r w:rsidR="008F27A8">
        <w:rPr>
          <w:rFonts w:ascii="Calibri" w:eastAsia="Calibri" w:hAnsi="Calibri" w:cs="Calibri"/>
        </w:rPr>
        <w:t xml:space="preserve"> While </w:t>
      </w:r>
      <w:r w:rsidR="005C2E3D">
        <w:rPr>
          <w:rFonts w:ascii="Calibri" w:eastAsia="Calibri" w:hAnsi="Calibri" w:cs="Calibri"/>
        </w:rPr>
        <w:t>identified</w:t>
      </w:r>
      <w:r w:rsidR="008F27A8">
        <w:rPr>
          <w:rFonts w:ascii="Calibri" w:eastAsia="Calibri" w:hAnsi="Calibri" w:cs="Calibri"/>
        </w:rPr>
        <w:t xml:space="preserve"> </w:t>
      </w:r>
      <w:r w:rsidR="008F27A8" w:rsidRPr="005C2E3D">
        <w:rPr>
          <w:rFonts w:ascii="Calibri" w:eastAsia="Calibri" w:hAnsi="Calibri" w:cs="Calibri"/>
        </w:rPr>
        <w:t>as emergent the</w:t>
      </w:r>
      <w:r w:rsidR="005C2E3D" w:rsidRPr="005C2E3D">
        <w:rPr>
          <w:rFonts w:ascii="Calibri" w:eastAsia="Calibri" w:hAnsi="Calibri" w:cs="Calibri"/>
        </w:rPr>
        <w:t xml:space="preserve"> OWDB contracted service providers implement the</w:t>
      </w:r>
      <w:r w:rsidR="008F27A8" w:rsidRPr="005C2E3D">
        <w:rPr>
          <w:rFonts w:ascii="Calibri" w:eastAsia="Calibri" w:hAnsi="Calibri" w:cs="Calibri"/>
        </w:rPr>
        <w:t xml:space="preserve"> </w:t>
      </w:r>
      <w:r w:rsidR="005C2E3D" w:rsidRPr="005C2E3D">
        <w:rPr>
          <w:rFonts w:ascii="Calibri" w:eastAsia="Calibri" w:hAnsi="Calibri" w:cs="Calibri"/>
        </w:rPr>
        <w:t>strategies</w:t>
      </w:r>
      <w:r w:rsidRPr="005C2E3D">
        <w:rPr>
          <w:rFonts w:ascii="Calibri" w:eastAsia="Calibri" w:hAnsi="Calibri" w:cs="Calibri"/>
        </w:rPr>
        <w:t xml:space="preserve"> described in </w:t>
      </w:r>
      <w:r w:rsidR="005C2E3D" w:rsidRPr="005C2E3D">
        <w:rPr>
          <w:rFonts w:ascii="Calibri" w:eastAsia="Calibri" w:hAnsi="Calibri" w:cs="Calibri"/>
        </w:rPr>
        <w:t>6</w:t>
      </w:r>
      <w:r w:rsidR="00E5476B" w:rsidRPr="005C2E3D">
        <w:rPr>
          <w:rFonts w:ascii="Calibri" w:eastAsia="Calibri" w:hAnsi="Calibri" w:cs="Calibri"/>
        </w:rPr>
        <w:t xml:space="preserve"> in</w:t>
      </w:r>
      <w:r w:rsidRPr="005C2E3D">
        <w:rPr>
          <w:rFonts w:ascii="Calibri" w:eastAsia="Calibri" w:hAnsi="Calibri" w:cs="Calibri"/>
        </w:rPr>
        <w:t xml:space="preserve"> its work with Child Support Services</w:t>
      </w:r>
      <w:r w:rsidR="00D25575" w:rsidRPr="005C2E3D">
        <w:rPr>
          <w:rFonts w:ascii="Calibri" w:eastAsia="Calibri" w:hAnsi="Calibri" w:cs="Calibri"/>
        </w:rPr>
        <w:t xml:space="preserve"> </w:t>
      </w:r>
      <w:r w:rsidRPr="005C2E3D">
        <w:rPr>
          <w:rFonts w:ascii="Calibri" w:eastAsia="Calibri" w:hAnsi="Calibri" w:cs="Calibri"/>
        </w:rPr>
        <w:t xml:space="preserve">and </w:t>
      </w:r>
      <w:r w:rsidR="00BB1E47" w:rsidRPr="005C2E3D">
        <w:rPr>
          <w:rFonts w:ascii="Calibri" w:eastAsia="Calibri" w:hAnsi="Calibri" w:cs="Calibri"/>
        </w:rPr>
        <w:t>c</w:t>
      </w:r>
      <w:r w:rsidRPr="005C2E3D">
        <w:rPr>
          <w:rFonts w:ascii="Calibri" w:eastAsia="Calibri" w:hAnsi="Calibri" w:cs="Calibri"/>
        </w:rPr>
        <w:t>ommunity-</w:t>
      </w:r>
      <w:r w:rsidR="00BB1E47" w:rsidRPr="005C2E3D">
        <w:rPr>
          <w:rFonts w:ascii="Calibri" w:eastAsia="Calibri" w:hAnsi="Calibri" w:cs="Calibri"/>
        </w:rPr>
        <w:t>b</w:t>
      </w:r>
      <w:r w:rsidRPr="005C2E3D">
        <w:rPr>
          <w:rFonts w:ascii="Calibri" w:eastAsia="Calibri" w:hAnsi="Calibri" w:cs="Calibri"/>
        </w:rPr>
        <w:t xml:space="preserve">ased </w:t>
      </w:r>
      <w:r w:rsidR="00BB1E47" w:rsidRPr="005C2E3D">
        <w:rPr>
          <w:rFonts w:ascii="Calibri" w:eastAsia="Calibri" w:hAnsi="Calibri" w:cs="Calibri"/>
        </w:rPr>
        <w:t>o</w:t>
      </w:r>
      <w:r w:rsidRPr="005C2E3D">
        <w:rPr>
          <w:rFonts w:ascii="Calibri" w:eastAsia="Calibri" w:hAnsi="Calibri" w:cs="Calibri"/>
        </w:rPr>
        <w:t xml:space="preserve">rganizations. </w:t>
      </w:r>
    </w:p>
    <w:p w14:paraId="709D59FF" w14:textId="60FEC02F" w:rsidR="00B53A2E" w:rsidRPr="009C20CB" w:rsidRDefault="00B53A2E" w:rsidP="000417D7">
      <w:pPr>
        <w:jc w:val="both"/>
        <w:rPr>
          <w:rFonts w:ascii="Calibri" w:eastAsia="Calibri" w:hAnsi="Calibri" w:cs="Calibri"/>
        </w:rPr>
      </w:pPr>
    </w:p>
    <w:p w14:paraId="790C85E7" w14:textId="0DD0F394" w:rsidR="00B53A2E" w:rsidRPr="00B53A2E" w:rsidRDefault="00B53A2E" w:rsidP="00B53A2E">
      <w:pPr>
        <w:pStyle w:val="Caption"/>
        <w:rPr>
          <w:sz w:val="24"/>
        </w:rPr>
      </w:pPr>
      <w:bookmarkStart w:id="5" w:name="_Ref66377068"/>
      <w:r w:rsidRPr="00B53A2E">
        <w:rPr>
          <w:sz w:val="24"/>
        </w:rPr>
        <w:t xml:space="preserve">Table </w:t>
      </w:r>
      <w:r w:rsidRPr="00B53A2E">
        <w:rPr>
          <w:sz w:val="24"/>
        </w:rPr>
        <w:fldChar w:fldCharType="begin"/>
      </w:r>
      <w:r w:rsidRPr="00B53A2E">
        <w:rPr>
          <w:sz w:val="24"/>
        </w:rPr>
        <w:instrText xml:space="preserve"> SEQ Table \* ARABIC </w:instrText>
      </w:r>
      <w:r w:rsidRPr="00B53A2E">
        <w:rPr>
          <w:sz w:val="24"/>
        </w:rPr>
        <w:fldChar w:fldCharType="separate"/>
      </w:r>
      <w:r w:rsidR="000F6D23">
        <w:rPr>
          <w:noProof/>
          <w:sz w:val="24"/>
        </w:rPr>
        <w:t>6</w:t>
      </w:r>
      <w:r w:rsidRPr="00B53A2E">
        <w:rPr>
          <w:sz w:val="24"/>
        </w:rPr>
        <w:fldChar w:fldCharType="end"/>
      </w:r>
      <w:bookmarkEnd w:id="5"/>
      <w:r w:rsidRPr="00B53A2E">
        <w:rPr>
          <w:sz w:val="24"/>
        </w:rPr>
        <w:t xml:space="preserve">. </w:t>
      </w:r>
      <w:r w:rsidRPr="009D395F">
        <w:rPr>
          <w:sz w:val="24"/>
        </w:rPr>
        <w:t xml:space="preserve">PY21-24 </w:t>
      </w:r>
      <w:r>
        <w:rPr>
          <w:sz w:val="24"/>
        </w:rPr>
        <w:t>Child Support Services</w:t>
      </w:r>
      <w:r w:rsidR="006764F8">
        <w:rPr>
          <w:sz w:val="24"/>
        </w:rPr>
        <w:t xml:space="preserve"> </w:t>
      </w:r>
      <w:r>
        <w:rPr>
          <w:sz w:val="24"/>
        </w:rPr>
        <w:t xml:space="preserve">and CBO </w:t>
      </w:r>
      <w:r w:rsidR="006D7368">
        <w:rPr>
          <w:sz w:val="24"/>
        </w:rPr>
        <w:t xml:space="preserve">Emergent </w:t>
      </w:r>
      <w:r>
        <w:rPr>
          <w:sz w:val="24"/>
        </w:rPr>
        <w:t>Strategy Areas</w:t>
      </w:r>
    </w:p>
    <w:tbl>
      <w:tblPr>
        <w:tblStyle w:val="GridTable4-Accent51"/>
        <w:tblW w:w="0" w:type="auto"/>
        <w:tblLook w:val="04A0" w:firstRow="1" w:lastRow="0" w:firstColumn="1" w:lastColumn="0" w:noHBand="0" w:noVBand="1"/>
      </w:tblPr>
      <w:tblGrid>
        <w:gridCol w:w="2425"/>
        <w:gridCol w:w="6925"/>
      </w:tblGrid>
      <w:tr w:rsidR="00B53A2E" w:rsidRPr="00D6322D" w14:paraId="0A78D006" w14:textId="77777777" w:rsidTr="00A80E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F927163" w14:textId="77777777" w:rsidR="00B53A2E" w:rsidRPr="00D6322D" w:rsidRDefault="00B53A2E" w:rsidP="00A80E3D">
            <w:pPr>
              <w:jc w:val="center"/>
              <w:rPr>
                <w:rFonts w:ascii="Calibri" w:eastAsia="Calibri" w:hAnsi="Calibri" w:cs="Calibri"/>
                <w:sz w:val="24"/>
                <w:szCs w:val="24"/>
                <w:lang w:val="en"/>
              </w:rPr>
            </w:pPr>
            <w:r w:rsidRPr="00D6322D">
              <w:rPr>
                <w:rFonts w:ascii="Calibri" w:eastAsia="Calibri" w:hAnsi="Calibri" w:cs="Calibri"/>
                <w:sz w:val="24"/>
                <w:szCs w:val="24"/>
                <w:lang w:val="en"/>
              </w:rPr>
              <w:t>OWDB Partner</w:t>
            </w:r>
          </w:p>
        </w:tc>
        <w:tc>
          <w:tcPr>
            <w:tcW w:w="6925" w:type="dxa"/>
          </w:tcPr>
          <w:p w14:paraId="1014D695" w14:textId="77777777" w:rsidR="00B53A2E" w:rsidRPr="00D6322D" w:rsidRDefault="00B53A2E" w:rsidP="00A80E3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Pr>
                <w:rFonts w:ascii="Calibri" w:eastAsia="Calibri" w:hAnsi="Calibri" w:cs="Calibri"/>
                <w:sz w:val="24"/>
                <w:szCs w:val="24"/>
                <w:lang w:val="en"/>
              </w:rPr>
              <w:t>Ongoing Collaborative Strategies</w:t>
            </w:r>
          </w:p>
        </w:tc>
      </w:tr>
      <w:tr w:rsidR="00B53A2E" w:rsidRPr="00C22EB6" w14:paraId="53F799DA" w14:textId="77777777" w:rsidTr="00A80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7D12B01" w14:textId="3A58F39D" w:rsidR="00B53A2E" w:rsidRPr="00B53A2E" w:rsidRDefault="0007667B" w:rsidP="00A80E3D">
            <w:pPr>
              <w:rPr>
                <w:rFonts w:ascii="Calibri" w:eastAsia="Calibri" w:hAnsi="Calibri" w:cs="Calibri"/>
                <w:b w:val="0"/>
                <w:sz w:val="24"/>
                <w:szCs w:val="24"/>
                <w:lang w:val="en"/>
              </w:rPr>
            </w:pPr>
            <w:r w:rsidRPr="00B53A2E">
              <w:rPr>
                <w:rFonts w:ascii="Calibri" w:eastAsia="Calibri" w:hAnsi="Calibri" w:cs="Calibri"/>
                <w:b w:val="0"/>
                <w:sz w:val="24"/>
                <w:szCs w:val="24"/>
                <w:lang w:val="en"/>
              </w:rPr>
              <w:t>Child Support Services</w:t>
            </w:r>
          </w:p>
        </w:tc>
        <w:tc>
          <w:tcPr>
            <w:tcW w:w="6925" w:type="dxa"/>
          </w:tcPr>
          <w:p w14:paraId="3A290D7F" w14:textId="447A06CC" w:rsidR="00B53A2E" w:rsidRPr="00746E5A" w:rsidRDefault="008738F1" w:rsidP="00243B78">
            <w:pPr>
              <w:pStyle w:val="NormalWeb"/>
              <w:numPr>
                <w:ilvl w:val="0"/>
                <w:numId w:val="23"/>
              </w:numPr>
              <w:spacing w:before="0" w:beforeAutospacing="0" w:after="0" w:afterAutospacing="0"/>
              <w:ind w:left="35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rPr>
            </w:pPr>
            <w:r w:rsidRPr="00746E5A">
              <w:rPr>
                <w:rFonts w:ascii="Calibri" w:hAnsi="Calibri"/>
                <w:b/>
                <w:color w:val="000000"/>
                <w:sz w:val="24"/>
                <w:szCs w:val="24"/>
              </w:rPr>
              <w:t xml:space="preserve">Connect </w:t>
            </w:r>
            <w:r w:rsidR="000402E0" w:rsidRPr="00746E5A">
              <w:rPr>
                <w:rFonts w:ascii="Calibri" w:hAnsi="Calibri"/>
                <w:b/>
                <w:color w:val="000000"/>
                <w:sz w:val="24"/>
                <w:szCs w:val="24"/>
              </w:rPr>
              <w:t>job seeker</w:t>
            </w:r>
            <w:r w:rsidRPr="00746E5A">
              <w:rPr>
                <w:rFonts w:ascii="Calibri" w:hAnsi="Calibri"/>
                <w:b/>
                <w:color w:val="000000"/>
                <w:sz w:val="24"/>
                <w:szCs w:val="24"/>
              </w:rPr>
              <w:t xml:space="preserve">s </w:t>
            </w:r>
            <w:r w:rsidR="001F1AB8" w:rsidRPr="00746E5A">
              <w:rPr>
                <w:rFonts w:ascii="Calibri" w:hAnsi="Calibri"/>
                <w:b/>
                <w:color w:val="000000"/>
                <w:sz w:val="24"/>
                <w:szCs w:val="24"/>
              </w:rPr>
              <w:t xml:space="preserve">to </w:t>
            </w:r>
            <w:r w:rsidR="00C03607" w:rsidRPr="00746E5A">
              <w:rPr>
                <w:rFonts w:ascii="Calibri" w:hAnsi="Calibri"/>
                <w:b/>
                <w:color w:val="000000"/>
                <w:sz w:val="24"/>
                <w:szCs w:val="24"/>
              </w:rPr>
              <w:t xml:space="preserve">child </w:t>
            </w:r>
            <w:r w:rsidR="00317063" w:rsidRPr="00746E5A">
              <w:rPr>
                <w:rFonts w:ascii="Calibri" w:hAnsi="Calibri"/>
                <w:b/>
                <w:color w:val="000000"/>
                <w:sz w:val="24"/>
                <w:szCs w:val="24"/>
              </w:rPr>
              <w:t xml:space="preserve">support </w:t>
            </w:r>
            <w:r w:rsidR="00C03607" w:rsidRPr="00746E5A">
              <w:rPr>
                <w:rFonts w:ascii="Calibri" w:hAnsi="Calibri"/>
                <w:b/>
                <w:color w:val="000000"/>
                <w:sz w:val="24"/>
                <w:szCs w:val="24"/>
              </w:rPr>
              <w:t>mediation services.</w:t>
            </w:r>
            <w:r w:rsidR="00C03607" w:rsidRPr="00746E5A">
              <w:rPr>
                <w:rFonts w:ascii="Calibri" w:hAnsi="Calibri"/>
                <w:color w:val="000000"/>
                <w:sz w:val="24"/>
                <w:szCs w:val="24"/>
              </w:rPr>
              <w:t xml:space="preserve"> Child support </w:t>
            </w:r>
            <w:r w:rsidR="00B75791" w:rsidRPr="00746E5A">
              <w:rPr>
                <w:rFonts w:ascii="Calibri" w:hAnsi="Calibri"/>
                <w:color w:val="000000"/>
                <w:sz w:val="24"/>
                <w:szCs w:val="24"/>
              </w:rPr>
              <w:t>can be a</w:t>
            </w:r>
            <w:r w:rsidR="00C03607" w:rsidRPr="00746E5A">
              <w:rPr>
                <w:rFonts w:ascii="Calibri" w:hAnsi="Calibri"/>
                <w:color w:val="000000"/>
                <w:sz w:val="24"/>
                <w:szCs w:val="24"/>
              </w:rPr>
              <w:t xml:space="preserve"> barrier to employment, particularly for the </w:t>
            </w:r>
            <w:r w:rsidR="00C76F85" w:rsidRPr="00746E5A">
              <w:rPr>
                <w:rFonts w:ascii="Calibri" w:hAnsi="Calibri"/>
                <w:color w:val="000000"/>
                <w:sz w:val="24"/>
                <w:szCs w:val="24"/>
              </w:rPr>
              <w:t>justice-involved</w:t>
            </w:r>
            <w:r w:rsidR="00C03607" w:rsidRPr="00746E5A">
              <w:rPr>
                <w:rFonts w:ascii="Calibri" w:hAnsi="Calibri"/>
                <w:color w:val="000000"/>
                <w:sz w:val="24"/>
                <w:szCs w:val="24"/>
              </w:rPr>
              <w:t xml:space="preserve"> population. </w:t>
            </w:r>
            <w:r w:rsidR="00283C7F" w:rsidRPr="00746E5A">
              <w:rPr>
                <w:rFonts w:ascii="Calibri" w:hAnsi="Calibri"/>
                <w:color w:val="000000"/>
                <w:sz w:val="24"/>
                <w:szCs w:val="24"/>
              </w:rPr>
              <w:t xml:space="preserve">Concurrent with the delivery of </w:t>
            </w:r>
            <w:r w:rsidR="00A11919" w:rsidRPr="00746E5A">
              <w:rPr>
                <w:rFonts w:ascii="Calibri" w:hAnsi="Calibri"/>
                <w:color w:val="000000"/>
                <w:sz w:val="24"/>
                <w:szCs w:val="24"/>
              </w:rPr>
              <w:t xml:space="preserve">the above </w:t>
            </w:r>
            <w:r w:rsidR="006C38E8" w:rsidRPr="00746E5A">
              <w:rPr>
                <w:rFonts w:ascii="Calibri" w:hAnsi="Calibri"/>
                <w:color w:val="000000"/>
                <w:sz w:val="24"/>
                <w:szCs w:val="24"/>
              </w:rPr>
              <w:t xml:space="preserve">ACDCSS </w:t>
            </w:r>
            <w:r w:rsidR="00A11919" w:rsidRPr="00746E5A">
              <w:rPr>
                <w:rFonts w:ascii="Calibri" w:hAnsi="Calibri"/>
                <w:color w:val="000000"/>
                <w:sz w:val="24"/>
                <w:szCs w:val="24"/>
              </w:rPr>
              <w:t>strategies, the</w:t>
            </w:r>
            <w:r w:rsidR="00836F1A" w:rsidRPr="00746E5A">
              <w:rPr>
                <w:rFonts w:ascii="Calibri" w:hAnsi="Calibri"/>
                <w:color w:val="000000"/>
                <w:sz w:val="24"/>
                <w:szCs w:val="24"/>
              </w:rPr>
              <w:t xml:space="preserve"> OWDB contracted service providers </w:t>
            </w:r>
            <w:r w:rsidR="003B6975" w:rsidRPr="00746E5A">
              <w:rPr>
                <w:rFonts w:ascii="Calibri" w:hAnsi="Calibri"/>
                <w:color w:val="000000"/>
                <w:sz w:val="24"/>
                <w:szCs w:val="24"/>
              </w:rPr>
              <w:t>work with ACDCSS to</w:t>
            </w:r>
            <w:r w:rsidR="006C38E8" w:rsidRPr="00746E5A">
              <w:rPr>
                <w:rFonts w:ascii="Calibri" w:hAnsi="Calibri"/>
                <w:color w:val="000000"/>
                <w:sz w:val="24"/>
                <w:szCs w:val="24"/>
              </w:rPr>
              <w:t xml:space="preserve"> increas</w:t>
            </w:r>
            <w:r w:rsidR="003B6975" w:rsidRPr="00746E5A">
              <w:rPr>
                <w:rFonts w:ascii="Calibri" w:hAnsi="Calibri"/>
                <w:color w:val="000000"/>
                <w:sz w:val="24"/>
                <w:szCs w:val="24"/>
              </w:rPr>
              <w:t xml:space="preserve">e </w:t>
            </w:r>
            <w:r w:rsidR="006C38E8" w:rsidRPr="00746E5A">
              <w:rPr>
                <w:rFonts w:ascii="Calibri" w:hAnsi="Calibri"/>
                <w:color w:val="000000"/>
                <w:sz w:val="24"/>
                <w:szCs w:val="24"/>
              </w:rPr>
              <w:t xml:space="preserve">referrals to child support mediation services for eligible </w:t>
            </w:r>
            <w:r w:rsidR="000402E0" w:rsidRPr="00746E5A">
              <w:rPr>
                <w:rFonts w:ascii="Calibri" w:hAnsi="Calibri"/>
                <w:color w:val="000000"/>
                <w:sz w:val="24"/>
                <w:szCs w:val="24"/>
              </w:rPr>
              <w:t>job seeker</w:t>
            </w:r>
            <w:r w:rsidR="006C38E8" w:rsidRPr="00746E5A">
              <w:rPr>
                <w:rFonts w:ascii="Calibri" w:hAnsi="Calibri"/>
                <w:color w:val="000000"/>
                <w:sz w:val="24"/>
                <w:szCs w:val="24"/>
              </w:rPr>
              <w:t xml:space="preserve">s for whom child support is a barrier to employment.   </w:t>
            </w:r>
          </w:p>
        </w:tc>
      </w:tr>
      <w:tr w:rsidR="00B53A2E" w:rsidRPr="008C3888" w14:paraId="4727E811" w14:textId="77777777" w:rsidTr="00A80E3D">
        <w:tc>
          <w:tcPr>
            <w:cnfStyle w:val="001000000000" w:firstRow="0" w:lastRow="0" w:firstColumn="1" w:lastColumn="0" w:oddVBand="0" w:evenVBand="0" w:oddHBand="0" w:evenHBand="0" w:firstRowFirstColumn="0" w:firstRowLastColumn="0" w:lastRowFirstColumn="0" w:lastRowLastColumn="0"/>
            <w:tcW w:w="2425" w:type="dxa"/>
          </w:tcPr>
          <w:p w14:paraId="5CD61C6E" w14:textId="6DCA1DE7" w:rsidR="00B53A2E" w:rsidRPr="00B53A2E" w:rsidRDefault="0007667B" w:rsidP="00A80E3D">
            <w:pPr>
              <w:rPr>
                <w:rFonts w:ascii="Calibri" w:eastAsia="Calibri" w:hAnsi="Calibri" w:cs="Calibri"/>
                <w:b w:val="0"/>
                <w:sz w:val="24"/>
                <w:szCs w:val="24"/>
                <w:lang w:val="en"/>
              </w:rPr>
            </w:pPr>
            <w:r w:rsidRPr="00B53A2E">
              <w:rPr>
                <w:rFonts w:ascii="Calibri" w:eastAsia="Calibri" w:hAnsi="Calibri" w:cs="Calibri"/>
                <w:b w:val="0"/>
                <w:sz w:val="24"/>
                <w:szCs w:val="24"/>
                <w:lang w:val="en"/>
              </w:rPr>
              <w:t>Community-Based Organizations</w:t>
            </w:r>
          </w:p>
        </w:tc>
        <w:tc>
          <w:tcPr>
            <w:tcW w:w="6925" w:type="dxa"/>
          </w:tcPr>
          <w:p w14:paraId="12970859" w14:textId="1991BC01" w:rsidR="00B53A2E" w:rsidRPr="00746E5A" w:rsidRDefault="00910B8F" w:rsidP="00243B78">
            <w:pPr>
              <w:pStyle w:val="NormalWeb"/>
              <w:numPr>
                <w:ilvl w:val="0"/>
                <w:numId w:val="23"/>
              </w:numPr>
              <w:spacing w:before="0" w:beforeAutospacing="0" w:after="0" w:afterAutospacing="0"/>
              <w:ind w:left="35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rPr>
            </w:pPr>
            <w:r w:rsidRPr="00746E5A">
              <w:rPr>
                <w:rFonts w:ascii="Calibri" w:hAnsi="Calibri"/>
                <w:b/>
                <w:color w:val="000000"/>
                <w:sz w:val="24"/>
                <w:szCs w:val="24"/>
              </w:rPr>
              <w:t xml:space="preserve">Connect </w:t>
            </w:r>
            <w:r w:rsidR="000402E0" w:rsidRPr="00746E5A">
              <w:rPr>
                <w:rFonts w:ascii="Calibri" w:hAnsi="Calibri"/>
                <w:b/>
                <w:color w:val="000000"/>
                <w:sz w:val="24"/>
                <w:szCs w:val="24"/>
              </w:rPr>
              <w:t>job seeker</w:t>
            </w:r>
            <w:r w:rsidRPr="00746E5A">
              <w:rPr>
                <w:rFonts w:ascii="Calibri" w:hAnsi="Calibri"/>
                <w:b/>
                <w:color w:val="000000"/>
                <w:sz w:val="24"/>
                <w:szCs w:val="24"/>
              </w:rPr>
              <w:t>s with vouchers for childcare</w:t>
            </w:r>
            <w:r w:rsidR="00570DC8" w:rsidRPr="00746E5A">
              <w:rPr>
                <w:rFonts w:ascii="Calibri" w:hAnsi="Calibri"/>
                <w:b/>
                <w:color w:val="000000"/>
                <w:sz w:val="24"/>
                <w:szCs w:val="24"/>
              </w:rPr>
              <w:t xml:space="preserve"> during job search or workforce development activities.</w:t>
            </w:r>
            <w:r w:rsidR="00570DC8" w:rsidRPr="00746E5A">
              <w:rPr>
                <w:rFonts w:ascii="Calibri" w:hAnsi="Calibri"/>
                <w:color w:val="000000"/>
                <w:sz w:val="24"/>
                <w:szCs w:val="24"/>
              </w:rPr>
              <w:t xml:space="preserve"> </w:t>
            </w:r>
            <w:r w:rsidR="0089635C" w:rsidRPr="00746E5A">
              <w:rPr>
                <w:rFonts w:ascii="Calibri" w:hAnsi="Calibri"/>
                <w:color w:val="000000"/>
                <w:sz w:val="24"/>
                <w:szCs w:val="24"/>
              </w:rPr>
              <w:t xml:space="preserve">A significant need for </w:t>
            </w:r>
            <w:r w:rsidR="000402E0" w:rsidRPr="00746E5A">
              <w:rPr>
                <w:rFonts w:ascii="Calibri" w:hAnsi="Calibri"/>
                <w:color w:val="000000"/>
                <w:sz w:val="24"/>
                <w:szCs w:val="24"/>
              </w:rPr>
              <w:t>job seeker</w:t>
            </w:r>
            <w:r w:rsidR="0089635C" w:rsidRPr="00746E5A">
              <w:rPr>
                <w:rFonts w:ascii="Calibri" w:hAnsi="Calibri"/>
                <w:color w:val="000000"/>
                <w:sz w:val="24"/>
                <w:szCs w:val="24"/>
              </w:rPr>
              <w:t xml:space="preserve">s with children or other dependents is access to childcare services during workforce training and/or job search activities. </w:t>
            </w:r>
            <w:r w:rsidR="003662B8" w:rsidRPr="00746E5A">
              <w:rPr>
                <w:rFonts w:ascii="Calibri" w:hAnsi="Calibri"/>
                <w:color w:val="000000"/>
                <w:sz w:val="24"/>
                <w:szCs w:val="24"/>
              </w:rPr>
              <w:t>The OWDB</w:t>
            </w:r>
            <w:r w:rsidR="00836F1A" w:rsidRPr="00746E5A">
              <w:rPr>
                <w:rFonts w:ascii="Calibri" w:hAnsi="Calibri"/>
                <w:color w:val="000000"/>
                <w:sz w:val="24"/>
                <w:szCs w:val="24"/>
              </w:rPr>
              <w:t xml:space="preserve"> contracted service providers</w:t>
            </w:r>
            <w:r w:rsidR="008F27A8">
              <w:rPr>
                <w:rFonts w:ascii="Calibri" w:hAnsi="Calibri"/>
                <w:color w:val="000000"/>
                <w:sz w:val="24"/>
                <w:szCs w:val="24"/>
              </w:rPr>
              <w:t xml:space="preserve"> </w:t>
            </w:r>
            <w:r w:rsidR="003662B8" w:rsidRPr="00746E5A">
              <w:rPr>
                <w:rFonts w:ascii="Calibri" w:hAnsi="Calibri"/>
                <w:color w:val="000000"/>
                <w:sz w:val="24"/>
                <w:szCs w:val="24"/>
              </w:rPr>
              <w:t xml:space="preserve">include referrals to organizations offering childcare vouchers </w:t>
            </w:r>
            <w:r w:rsidR="00E117ED" w:rsidRPr="00746E5A">
              <w:rPr>
                <w:rFonts w:ascii="Calibri" w:hAnsi="Calibri"/>
                <w:color w:val="000000"/>
                <w:sz w:val="24"/>
                <w:szCs w:val="24"/>
              </w:rPr>
              <w:t xml:space="preserve">or on-site childcare services </w:t>
            </w:r>
            <w:r w:rsidR="00FD0CB3" w:rsidRPr="00746E5A">
              <w:rPr>
                <w:rFonts w:ascii="Calibri" w:hAnsi="Calibri"/>
                <w:color w:val="000000"/>
                <w:sz w:val="24"/>
                <w:szCs w:val="24"/>
              </w:rPr>
              <w:t xml:space="preserve">as part of its supportive services for </w:t>
            </w:r>
            <w:r w:rsidR="000402E0" w:rsidRPr="00746E5A">
              <w:rPr>
                <w:rFonts w:ascii="Calibri" w:hAnsi="Calibri"/>
                <w:color w:val="000000"/>
                <w:sz w:val="24"/>
                <w:szCs w:val="24"/>
              </w:rPr>
              <w:t>job seeker</w:t>
            </w:r>
            <w:r w:rsidR="00FD0CB3" w:rsidRPr="00746E5A">
              <w:rPr>
                <w:rFonts w:ascii="Calibri" w:hAnsi="Calibri"/>
                <w:color w:val="000000"/>
                <w:sz w:val="24"/>
                <w:szCs w:val="24"/>
              </w:rPr>
              <w:t xml:space="preserve">s. </w:t>
            </w:r>
          </w:p>
        </w:tc>
      </w:tr>
    </w:tbl>
    <w:p w14:paraId="7E3708A4" w14:textId="77777777" w:rsidR="000417D7" w:rsidRPr="000417D7" w:rsidRDefault="000417D7" w:rsidP="000417D7">
      <w:pPr>
        <w:jc w:val="both"/>
      </w:pPr>
    </w:p>
    <w:p w14:paraId="66F07898" w14:textId="45E38A46" w:rsidR="000417D7" w:rsidRDefault="000417D7" w:rsidP="000417D7">
      <w:pPr>
        <w:spacing w:after="120"/>
        <w:rPr>
          <w:b/>
        </w:rPr>
      </w:pPr>
      <w:r>
        <w:rPr>
          <w:b/>
        </w:rPr>
        <w:t xml:space="preserve">Spotlight: </w:t>
      </w:r>
      <w:r w:rsidRPr="00D33245">
        <w:rPr>
          <w:b/>
        </w:rPr>
        <w:t>Equity Indicators</w:t>
      </w:r>
      <w:r>
        <w:rPr>
          <w:b/>
        </w:rPr>
        <w:t xml:space="preserve"> &amp; State Partner Strategies</w:t>
      </w:r>
    </w:p>
    <w:p w14:paraId="453C8914" w14:textId="62F01195" w:rsidR="00D14DCF" w:rsidRPr="00D14DCF" w:rsidRDefault="00D14DCF" w:rsidP="00D14DCF">
      <w:pPr>
        <w:jc w:val="both"/>
      </w:pPr>
      <w:r>
        <w:t xml:space="preserve">Many of the above strategy areas and objectives articulate with one or more of the indicators in the 2018 Oakland Equity Indicators Report. The table below lists these relationships. </w:t>
      </w:r>
    </w:p>
    <w:tbl>
      <w:tblPr>
        <w:tblStyle w:val="PlainTable1"/>
        <w:tblW w:w="9354" w:type="dxa"/>
        <w:tblLook w:val="04A0" w:firstRow="1" w:lastRow="0" w:firstColumn="1" w:lastColumn="0" w:noHBand="0" w:noVBand="1"/>
      </w:tblPr>
      <w:tblGrid>
        <w:gridCol w:w="1305"/>
        <w:gridCol w:w="8049"/>
      </w:tblGrid>
      <w:tr w:rsidR="00944EC0" w14:paraId="3D451D01" w14:textId="77777777" w:rsidTr="00E64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
          </w:tcPr>
          <w:p w14:paraId="68311024" w14:textId="0226E662" w:rsidR="00944EC0" w:rsidRDefault="00D14DCF" w:rsidP="00E64B6C">
            <w:pPr>
              <w:jc w:val="center"/>
            </w:pPr>
            <w:r w:rsidRPr="001B47F3">
              <w:t>Oakland Equity Indicators Crosswalk – State Strategic Partner Strategies</w:t>
            </w:r>
          </w:p>
        </w:tc>
      </w:tr>
      <w:tr w:rsidR="00944EC0" w14:paraId="2B048A3C" w14:textId="77777777" w:rsidTr="00D14DCF">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293" w:type="dxa"/>
            <w:tcBorders>
              <w:right w:val="single" w:sz="4" w:space="0" w:color="F2F2F2" w:themeColor="background1" w:themeShade="F2"/>
            </w:tcBorders>
          </w:tcPr>
          <w:p w14:paraId="1F7686BB" w14:textId="77777777" w:rsidR="00944EC0" w:rsidRPr="00827F01" w:rsidRDefault="00944EC0" w:rsidP="00E64B6C">
            <w:pPr>
              <w:ind w:left="360"/>
            </w:pPr>
            <w:r w:rsidRPr="00CB7149">
              <w:rPr>
                <w:noProof/>
              </w:rPr>
              <w:drawing>
                <wp:anchor distT="0" distB="0" distL="114300" distR="114300" simplePos="0" relativeHeight="251679744" behindDoc="1" locked="0" layoutInCell="1" allowOverlap="1" wp14:anchorId="6837E939" wp14:editId="43FB3036">
                  <wp:simplePos x="0" y="0"/>
                  <wp:positionH relativeFrom="column">
                    <wp:posOffset>-33020</wp:posOffset>
                  </wp:positionH>
                  <wp:positionV relativeFrom="paragraph">
                    <wp:posOffset>63500</wp:posOffset>
                  </wp:positionV>
                  <wp:extent cx="691515" cy="601345"/>
                  <wp:effectExtent l="0" t="0" r="0" b="0"/>
                  <wp:wrapTight wrapText="bothSides">
                    <wp:wrapPolygon edited="0">
                      <wp:start x="2777" y="912"/>
                      <wp:lineTo x="397" y="8667"/>
                      <wp:lineTo x="1587" y="16422"/>
                      <wp:lineTo x="2380" y="20528"/>
                      <wp:lineTo x="20628" y="20528"/>
                      <wp:lineTo x="21025" y="17791"/>
                      <wp:lineTo x="20628" y="9124"/>
                      <wp:lineTo x="19041" y="912"/>
                      <wp:lineTo x="2777" y="91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4944" t="21965" r="17379" b="19158"/>
                          <a:stretch/>
                        </pic:blipFill>
                        <pic:spPr bwMode="auto">
                          <a:xfrm>
                            <a:off x="0" y="0"/>
                            <a:ext cx="691515"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061" w:type="dxa"/>
            <w:tcBorders>
              <w:left w:val="single" w:sz="4" w:space="0" w:color="F2F2F2" w:themeColor="background1" w:themeShade="F2"/>
            </w:tcBorders>
          </w:tcPr>
          <w:p w14:paraId="47127AF9" w14:textId="4138FEDC" w:rsidR="00944EC0" w:rsidRPr="00EB65F8" w:rsidRDefault="00D14DCF" w:rsidP="00E64B6C">
            <w:pPr>
              <w:pStyle w:val="ListParagraph"/>
              <w:numPr>
                <w:ilvl w:val="0"/>
                <w:numId w:val="18"/>
              </w:numPr>
              <w:ind w:left="376" w:hanging="286"/>
              <w:cnfStyle w:val="000000100000" w:firstRow="0" w:lastRow="0" w:firstColumn="0" w:lastColumn="0" w:oddVBand="0" w:evenVBand="0" w:oddHBand="1" w:evenHBand="0" w:firstRowFirstColumn="0" w:firstRowLastColumn="0" w:lastRowFirstColumn="0" w:lastRowLastColumn="0"/>
              <w:rPr>
                <w:noProof/>
                <w:sz w:val="24"/>
              </w:rPr>
            </w:pPr>
            <w:r w:rsidRPr="00EB65F8">
              <w:rPr>
                <w:b/>
                <w:sz w:val="24"/>
              </w:rPr>
              <w:t>All of the state strategic partner strategies</w:t>
            </w:r>
            <w:r w:rsidRPr="00EB65F8">
              <w:rPr>
                <w:sz w:val="24"/>
              </w:rPr>
              <w:t>, including strategies</w:t>
            </w:r>
            <w:r w:rsidRPr="00EB65F8">
              <w:rPr>
                <w:rFonts w:ascii="Calibri" w:eastAsia="Calibri" w:hAnsi="Calibri" w:cs="Calibri"/>
                <w:sz w:val="24"/>
                <w:lang w:val="en"/>
              </w:rPr>
              <w:t xml:space="preserve"> implemented in partnership with the California Department of Rehabilitation (DOR), Alameda County, and </w:t>
            </w:r>
            <w:r w:rsidR="00676504">
              <w:rPr>
                <w:rFonts w:ascii="Calibri" w:eastAsia="Calibri" w:hAnsi="Calibri" w:cs="Calibri"/>
                <w:sz w:val="24"/>
                <w:lang w:val="en"/>
              </w:rPr>
              <w:t>c</w:t>
            </w:r>
            <w:r w:rsidRPr="00EB65F8">
              <w:rPr>
                <w:rFonts w:ascii="Calibri" w:eastAsia="Calibri" w:hAnsi="Calibri" w:cs="Calibri"/>
                <w:sz w:val="24"/>
                <w:lang w:val="en"/>
              </w:rPr>
              <w:t>ommunity-</w:t>
            </w:r>
            <w:r w:rsidR="00676504">
              <w:rPr>
                <w:rFonts w:ascii="Calibri" w:eastAsia="Calibri" w:hAnsi="Calibri" w:cs="Calibri"/>
                <w:sz w:val="24"/>
                <w:lang w:val="en"/>
              </w:rPr>
              <w:t>ba</w:t>
            </w:r>
            <w:r w:rsidRPr="00EB65F8">
              <w:rPr>
                <w:rFonts w:ascii="Calibri" w:eastAsia="Calibri" w:hAnsi="Calibri" w:cs="Calibri"/>
                <w:sz w:val="24"/>
                <w:lang w:val="en"/>
              </w:rPr>
              <w:t xml:space="preserve">sed </w:t>
            </w:r>
            <w:r w:rsidR="00676504">
              <w:rPr>
                <w:rFonts w:ascii="Calibri" w:eastAsia="Calibri" w:hAnsi="Calibri" w:cs="Calibri"/>
                <w:sz w:val="24"/>
                <w:lang w:val="en"/>
              </w:rPr>
              <w:t>o</w:t>
            </w:r>
            <w:r w:rsidRPr="00EB65F8">
              <w:rPr>
                <w:rFonts w:ascii="Calibri" w:eastAsia="Calibri" w:hAnsi="Calibri" w:cs="Calibri"/>
                <w:sz w:val="24"/>
                <w:lang w:val="en"/>
              </w:rPr>
              <w:t xml:space="preserve">rganizations </w:t>
            </w:r>
            <w:r w:rsidRPr="00EB65F8">
              <w:rPr>
                <w:sz w:val="24"/>
              </w:rPr>
              <w:t>support Labor Force Participation, Unemployment, Living Wage, and Workforce Development Programs</w:t>
            </w:r>
            <w:r w:rsidR="00EB65F8" w:rsidRPr="00EB65F8">
              <w:rPr>
                <w:sz w:val="24"/>
              </w:rPr>
              <w:t>.</w:t>
            </w:r>
          </w:p>
        </w:tc>
      </w:tr>
    </w:tbl>
    <w:p w14:paraId="55E66A08" w14:textId="3BA5E567" w:rsidR="007D0D91" w:rsidRDefault="007D0D91" w:rsidP="0007059B">
      <w:pPr>
        <w:keepNext/>
        <w:keepLines/>
        <w:spacing w:before="240" w:after="240"/>
        <w:outlineLvl w:val="0"/>
        <w:rPr>
          <w:rFonts w:ascii="Cambria" w:eastAsia="Times New Roman" w:hAnsi="Cambria" w:cs="Times New Roman"/>
          <w:b/>
          <w:iCs/>
          <w:color w:val="009CCE"/>
          <w:sz w:val="28"/>
          <w:szCs w:val="28"/>
        </w:rPr>
      </w:pPr>
      <w:r w:rsidRPr="007D0D91">
        <w:rPr>
          <w:rFonts w:ascii="Cambria" w:eastAsia="Times New Roman" w:hAnsi="Cambria" w:cs="Times New Roman"/>
          <w:b/>
          <w:iCs/>
          <w:color w:val="009CCE"/>
          <w:sz w:val="28"/>
          <w:szCs w:val="28"/>
        </w:rPr>
        <w:t>WIOA Title I Coordination</w:t>
      </w:r>
    </w:p>
    <w:p w14:paraId="06BF9ABA" w14:textId="6506C4A4" w:rsidR="00413D28" w:rsidRPr="000E6012" w:rsidRDefault="00413D28" w:rsidP="00206BED">
      <w:pPr>
        <w:pStyle w:val="Heading31"/>
        <w:spacing w:before="240" w:after="120"/>
        <w:rPr>
          <w:sz w:val="24"/>
        </w:rPr>
      </w:pPr>
      <w:r>
        <w:rPr>
          <w:sz w:val="24"/>
        </w:rPr>
        <w:t xml:space="preserve">Professional Development for Frontline Staff </w:t>
      </w:r>
    </w:p>
    <w:p w14:paraId="21F6614A" w14:textId="410582F0" w:rsidR="00606713" w:rsidRDefault="00606713" w:rsidP="00413D28">
      <w:pPr>
        <w:jc w:val="both"/>
      </w:pPr>
      <w:r>
        <w:t xml:space="preserve">In alignment with strategies pursuant to WIOA core partner coordination and collaboration, </w:t>
      </w:r>
      <w:r w:rsidR="00CF350B">
        <w:t>an emergent priority area</w:t>
      </w:r>
      <w:r>
        <w:t xml:space="preserve"> </w:t>
      </w:r>
      <w:r w:rsidR="00CF350B">
        <w:t xml:space="preserve">for the </w:t>
      </w:r>
      <w:r>
        <w:t xml:space="preserve">OWDB </w:t>
      </w:r>
      <w:r w:rsidR="00CF350B">
        <w:t>under the PY21-24 Local Plan</w:t>
      </w:r>
      <w:r w:rsidR="008D6120">
        <w:t xml:space="preserve"> is piloting cross-training opportunities with partner agencies. </w:t>
      </w:r>
      <w:r w:rsidR="00580C9B">
        <w:fldChar w:fldCharType="begin"/>
      </w:r>
      <w:r w:rsidR="00580C9B">
        <w:instrText xml:space="preserve"> REF _Ref66195642 \h </w:instrText>
      </w:r>
      <w:r w:rsidR="00580C9B">
        <w:fldChar w:fldCharType="separate"/>
      </w:r>
      <w:r w:rsidR="000F6D23" w:rsidRPr="00430B42">
        <w:t xml:space="preserve">Table </w:t>
      </w:r>
      <w:r w:rsidR="000F6D23">
        <w:rPr>
          <w:noProof/>
        </w:rPr>
        <w:t>7</w:t>
      </w:r>
      <w:r w:rsidR="00580C9B">
        <w:fldChar w:fldCharType="end"/>
      </w:r>
      <w:r w:rsidR="00580C9B">
        <w:t xml:space="preserve"> below describes </w:t>
      </w:r>
      <w:r w:rsidR="00366198">
        <w:t xml:space="preserve">professional development activities for frontline staff in the areas of digital fluency, distance learning, and </w:t>
      </w:r>
      <w:r w:rsidR="00E759FC">
        <w:t>culturally competent</w:t>
      </w:r>
      <w:r w:rsidR="00F830A1">
        <w:t xml:space="preserve"> and </w:t>
      </w:r>
      <w:r w:rsidR="00366198">
        <w:t xml:space="preserve">trauma-informed service delivery. </w:t>
      </w:r>
    </w:p>
    <w:p w14:paraId="5598B606" w14:textId="6F5C3CCE" w:rsidR="008D6120" w:rsidRDefault="008D6120" w:rsidP="00413D28">
      <w:pPr>
        <w:jc w:val="both"/>
      </w:pPr>
    </w:p>
    <w:p w14:paraId="2F82EB65" w14:textId="77777777" w:rsidR="00053301" w:rsidRDefault="00053301">
      <w:pPr>
        <w:rPr>
          <w:b/>
        </w:rPr>
      </w:pPr>
      <w:bookmarkStart w:id="6" w:name="_Ref66195642"/>
      <w:r>
        <w:br w:type="page"/>
      </w:r>
    </w:p>
    <w:p w14:paraId="7CA000CB" w14:textId="23FCACEE" w:rsidR="00430B42" w:rsidRPr="00430B42" w:rsidRDefault="00430B42" w:rsidP="00430B42">
      <w:pPr>
        <w:pStyle w:val="Caption"/>
        <w:rPr>
          <w:sz w:val="24"/>
        </w:rPr>
      </w:pPr>
      <w:r w:rsidRPr="00430B42">
        <w:rPr>
          <w:sz w:val="24"/>
        </w:rPr>
        <w:lastRenderedPageBreak/>
        <w:t xml:space="preserve">Table </w:t>
      </w:r>
      <w:r w:rsidRPr="00430B42">
        <w:rPr>
          <w:sz w:val="24"/>
        </w:rPr>
        <w:fldChar w:fldCharType="begin"/>
      </w:r>
      <w:r w:rsidRPr="00430B42">
        <w:rPr>
          <w:sz w:val="24"/>
        </w:rPr>
        <w:instrText xml:space="preserve"> SEQ Table \* ARABIC </w:instrText>
      </w:r>
      <w:r w:rsidRPr="00430B42">
        <w:rPr>
          <w:sz w:val="24"/>
        </w:rPr>
        <w:fldChar w:fldCharType="separate"/>
      </w:r>
      <w:r w:rsidR="000F6D23">
        <w:rPr>
          <w:noProof/>
          <w:sz w:val="24"/>
        </w:rPr>
        <w:t>7</w:t>
      </w:r>
      <w:r w:rsidRPr="00430B42">
        <w:rPr>
          <w:sz w:val="24"/>
        </w:rPr>
        <w:fldChar w:fldCharType="end"/>
      </w:r>
      <w:bookmarkEnd w:id="6"/>
      <w:r>
        <w:rPr>
          <w:sz w:val="24"/>
        </w:rPr>
        <w:t>. Professional Development Priorities for Frontline Staff</w:t>
      </w:r>
    </w:p>
    <w:tbl>
      <w:tblPr>
        <w:tblStyle w:val="GridTable4-Accent51"/>
        <w:tblW w:w="0" w:type="auto"/>
        <w:tblLook w:val="04A0" w:firstRow="1" w:lastRow="0" w:firstColumn="1" w:lastColumn="0" w:noHBand="0" w:noVBand="1"/>
      </w:tblPr>
      <w:tblGrid>
        <w:gridCol w:w="2425"/>
        <w:gridCol w:w="6925"/>
      </w:tblGrid>
      <w:tr w:rsidR="00430B42" w:rsidRPr="00817CC9" w14:paraId="74E51DBD" w14:textId="77777777" w:rsidTr="00580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5F8F52" w14:textId="11229F8B" w:rsidR="00430B42" w:rsidRPr="006528D9" w:rsidRDefault="00430B42" w:rsidP="00580C9B">
            <w:pPr>
              <w:jc w:val="center"/>
              <w:rPr>
                <w:rFonts w:ascii="Calibri" w:eastAsia="Calibri" w:hAnsi="Calibri" w:cs="Calibri"/>
                <w:sz w:val="24"/>
                <w:szCs w:val="24"/>
                <w:lang w:val="en"/>
              </w:rPr>
            </w:pPr>
            <w:r w:rsidRPr="006528D9">
              <w:rPr>
                <w:rFonts w:ascii="Calibri" w:eastAsia="Calibri" w:hAnsi="Calibri" w:cs="Calibri"/>
                <w:sz w:val="24"/>
                <w:szCs w:val="24"/>
                <w:lang w:val="en"/>
              </w:rPr>
              <w:t>Training Area</w:t>
            </w:r>
          </w:p>
        </w:tc>
        <w:tc>
          <w:tcPr>
            <w:tcW w:w="6925" w:type="dxa"/>
          </w:tcPr>
          <w:p w14:paraId="380A0EC3" w14:textId="77777777" w:rsidR="00430B42" w:rsidRPr="006528D9" w:rsidRDefault="00430B42" w:rsidP="00580C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lang w:val="en"/>
              </w:rPr>
            </w:pPr>
            <w:r w:rsidRPr="006528D9">
              <w:rPr>
                <w:rFonts w:ascii="Calibri" w:eastAsia="Calibri" w:hAnsi="Calibri" w:cs="Calibri"/>
                <w:sz w:val="24"/>
                <w:szCs w:val="24"/>
                <w:lang w:val="en"/>
              </w:rPr>
              <w:t>PY21-24 Objectives</w:t>
            </w:r>
          </w:p>
        </w:tc>
      </w:tr>
      <w:tr w:rsidR="00430B42" w:rsidRPr="00D93F2E" w14:paraId="37CDB2E1" w14:textId="77777777" w:rsidTr="00580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4B2BFC4" w14:textId="62BBDFE7" w:rsidR="00430B42" w:rsidRPr="006528D9" w:rsidRDefault="00430B42" w:rsidP="00580C9B">
            <w:pPr>
              <w:rPr>
                <w:rFonts w:ascii="Calibri" w:eastAsia="Calibri" w:hAnsi="Calibri" w:cs="Calibri"/>
                <w:b w:val="0"/>
                <w:sz w:val="24"/>
                <w:szCs w:val="24"/>
                <w:lang w:val="en"/>
              </w:rPr>
            </w:pPr>
            <w:r w:rsidRPr="006528D9">
              <w:rPr>
                <w:rFonts w:ascii="Calibri" w:eastAsia="Calibri" w:hAnsi="Calibri" w:cs="Calibri"/>
                <w:b w:val="0"/>
                <w:sz w:val="24"/>
                <w:szCs w:val="24"/>
                <w:lang w:val="en"/>
              </w:rPr>
              <w:t xml:space="preserve">Digital Fluency and Distance Learning </w:t>
            </w:r>
          </w:p>
        </w:tc>
        <w:tc>
          <w:tcPr>
            <w:tcW w:w="6925" w:type="dxa"/>
          </w:tcPr>
          <w:p w14:paraId="74533964" w14:textId="30481F1C" w:rsidR="00430B42" w:rsidRPr="006528D9" w:rsidRDefault="000309A5" w:rsidP="00580C9B">
            <w:pPr>
              <w:pStyle w:val="ListParagraph"/>
              <w:numPr>
                <w:ilvl w:val="0"/>
                <w:numId w:val="19"/>
              </w:numPr>
              <w:ind w:left="254" w:hanging="18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lang w:val="en"/>
              </w:rPr>
            </w:pPr>
            <w:r w:rsidRPr="006528D9">
              <w:rPr>
                <w:rFonts w:ascii="Calibri" w:eastAsia="Calibri" w:hAnsi="Calibri" w:cs="Calibri"/>
                <w:b/>
                <w:sz w:val="24"/>
                <w:szCs w:val="24"/>
                <w:lang w:val="en"/>
              </w:rPr>
              <w:t xml:space="preserve">Partner with Adult Education Providers to deliver digital fluency </w:t>
            </w:r>
            <w:r w:rsidR="004416D4" w:rsidRPr="006528D9">
              <w:rPr>
                <w:rFonts w:ascii="Calibri" w:eastAsia="Calibri" w:hAnsi="Calibri" w:cs="Calibri"/>
                <w:b/>
                <w:sz w:val="24"/>
                <w:szCs w:val="24"/>
                <w:lang w:val="en"/>
              </w:rPr>
              <w:t xml:space="preserve">and distance learning </w:t>
            </w:r>
            <w:r w:rsidRPr="006528D9">
              <w:rPr>
                <w:rFonts w:ascii="Calibri" w:eastAsia="Calibri" w:hAnsi="Calibri" w:cs="Calibri"/>
                <w:b/>
                <w:sz w:val="24"/>
                <w:szCs w:val="24"/>
                <w:lang w:val="en"/>
              </w:rPr>
              <w:t>professional development</w:t>
            </w:r>
            <w:r w:rsidR="00430B42" w:rsidRPr="006528D9">
              <w:rPr>
                <w:rFonts w:ascii="Calibri" w:eastAsia="Calibri" w:hAnsi="Calibri" w:cs="Calibri"/>
                <w:b/>
                <w:sz w:val="24"/>
                <w:szCs w:val="24"/>
                <w:lang w:val="en"/>
              </w:rPr>
              <w:t>.</w:t>
            </w:r>
            <w:r w:rsidR="00430B42" w:rsidRPr="006528D9">
              <w:rPr>
                <w:rFonts w:ascii="Calibri" w:eastAsia="Calibri" w:hAnsi="Calibri" w:cs="Calibri"/>
                <w:sz w:val="24"/>
                <w:szCs w:val="24"/>
                <w:lang w:val="en"/>
              </w:rPr>
              <w:t xml:space="preserve"> </w:t>
            </w:r>
            <w:r w:rsidRPr="006528D9">
              <w:rPr>
                <w:rFonts w:ascii="Calibri" w:eastAsia="Calibri" w:hAnsi="Calibri" w:cs="Calibri"/>
                <w:sz w:val="24"/>
                <w:szCs w:val="24"/>
                <w:lang w:val="en"/>
              </w:rPr>
              <w:t xml:space="preserve">The OWDB </w:t>
            </w:r>
            <w:r w:rsidR="00836F1A" w:rsidRPr="006528D9">
              <w:rPr>
                <w:rFonts w:ascii="Calibri" w:eastAsia="Calibri" w:hAnsi="Calibri" w:cs="Calibri"/>
                <w:sz w:val="24"/>
                <w:szCs w:val="24"/>
                <w:lang w:val="en"/>
              </w:rPr>
              <w:t>should</w:t>
            </w:r>
            <w:r w:rsidR="001C2367" w:rsidRPr="006528D9">
              <w:rPr>
                <w:rFonts w:ascii="Calibri" w:eastAsia="Calibri" w:hAnsi="Calibri" w:cs="Calibri"/>
                <w:sz w:val="24"/>
                <w:szCs w:val="24"/>
                <w:lang w:val="en"/>
              </w:rPr>
              <w:t xml:space="preserve"> partner with the Northern Alameda Consortium for Adult Education (NACAE) and the Alameda County Office of Education to identity instructional supports for frontline staff, including </w:t>
            </w:r>
            <w:r w:rsidR="004613CF" w:rsidRPr="006528D9">
              <w:rPr>
                <w:rFonts w:ascii="Calibri" w:eastAsia="Calibri" w:hAnsi="Calibri" w:cs="Calibri"/>
                <w:sz w:val="24"/>
                <w:szCs w:val="24"/>
                <w:lang w:val="en"/>
              </w:rPr>
              <w:t xml:space="preserve">a </w:t>
            </w:r>
            <w:r w:rsidR="001C2367" w:rsidRPr="006528D9">
              <w:rPr>
                <w:rFonts w:ascii="Calibri" w:eastAsia="Calibri" w:hAnsi="Calibri" w:cs="Calibri"/>
                <w:sz w:val="24"/>
                <w:szCs w:val="24"/>
                <w:lang w:val="en"/>
              </w:rPr>
              <w:t xml:space="preserve">virtual workshop-based professional development </w:t>
            </w:r>
            <w:r w:rsidR="004613CF" w:rsidRPr="006528D9">
              <w:rPr>
                <w:rFonts w:ascii="Calibri" w:eastAsia="Calibri" w:hAnsi="Calibri" w:cs="Calibri"/>
                <w:sz w:val="24"/>
                <w:szCs w:val="24"/>
                <w:lang w:val="en"/>
              </w:rPr>
              <w:t xml:space="preserve">series targeting digital fluency and distance learning best practices. </w:t>
            </w:r>
          </w:p>
        </w:tc>
      </w:tr>
      <w:tr w:rsidR="00430B42" w:rsidRPr="00D93F2E" w14:paraId="6DDBF845" w14:textId="77777777" w:rsidTr="00580C9B">
        <w:tc>
          <w:tcPr>
            <w:cnfStyle w:val="001000000000" w:firstRow="0" w:lastRow="0" w:firstColumn="1" w:lastColumn="0" w:oddVBand="0" w:evenVBand="0" w:oddHBand="0" w:evenHBand="0" w:firstRowFirstColumn="0" w:firstRowLastColumn="0" w:lastRowFirstColumn="0" w:lastRowLastColumn="0"/>
            <w:tcW w:w="2425" w:type="dxa"/>
          </w:tcPr>
          <w:p w14:paraId="5F515E9D" w14:textId="24D00265" w:rsidR="00430B42" w:rsidRPr="006528D9" w:rsidRDefault="00E318AA" w:rsidP="00580C9B">
            <w:pPr>
              <w:rPr>
                <w:rFonts w:ascii="Calibri" w:eastAsia="Calibri" w:hAnsi="Calibri" w:cs="Calibri"/>
                <w:b w:val="0"/>
                <w:sz w:val="24"/>
                <w:szCs w:val="24"/>
                <w:lang w:val="en"/>
              </w:rPr>
            </w:pPr>
            <w:r w:rsidRPr="006528D9">
              <w:rPr>
                <w:rFonts w:ascii="Calibri" w:eastAsia="Calibri" w:hAnsi="Calibri" w:cs="Calibri"/>
                <w:b w:val="0"/>
                <w:sz w:val="24"/>
                <w:szCs w:val="24"/>
                <w:lang w:val="en"/>
              </w:rPr>
              <w:t>Culturally Competent</w:t>
            </w:r>
            <w:r w:rsidR="00430B42" w:rsidRPr="006528D9">
              <w:rPr>
                <w:rFonts w:ascii="Calibri" w:eastAsia="Calibri" w:hAnsi="Calibri" w:cs="Calibri"/>
                <w:b w:val="0"/>
                <w:sz w:val="24"/>
                <w:szCs w:val="24"/>
                <w:lang w:val="en"/>
              </w:rPr>
              <w:t xml:space="preserve"> and Trauma-Informed Service Delivery </w:t>
            </w:r>
          </w:p>
        </w:tc>
        <w:tc>
          <w:tcPr>
            <w:tcW w:w="6925" w:type="dxa"/>
          </w:tcPr>
          <w:p w14:paraId="4FA7A7C4" w14:textId="3211E57C" w:rsidR="00430B42" w:rsidRPr="006528D9" w:rsidRDefault="00C42813" w:rsidP="00580C9B">
            <w:pPr>
              <w:pStyle w:val="ListParagraph"/>
              <w:numPr>
                <w:ilvl w:val="0"/>
                <w:numId w:val="19"/>
              </w:numPr>
              <w:ind w:left="254" w:hanging="18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4"/>
                <w:szCs w:val="24"/>
              </w:rPr>
            </w:pPr>
            <w:r w:rsidRPr="006528D9">
              <w:rPr>
                <w:rFonts w:ascii="Calibri" w:eastAsia="Calibri" w:hAnsi="Calibri" w:cs="Calibri"/>
                <w:b/>
                <w:sz w:val="24"/>
                <w:szCs w:val="24"/>
              </w:rPr>
              <w:t xml:space="preserve">Partner with the Alameda County </w:t>
            </w:r>
            <w:r w:rsidR="00CA382E" w:rsidRPr="006528D9">
              <w:rPr>
                <w:rFonts w:ascii="Calibri" w:eastAsia="Calibri" w:hAnsi="Calibri" w:cs="Calibri"/>
                <w:b/>
                <w:sz w:val="24"/>
                <w:szCs w:val="24"/>
              </w:rPr>
              <w:t>Behavioral Health Trauma Informed Care Project</w:t>
            </w:r>
            <w:r w:rsidRPr="006528D9">
              <w:rPr>
                <w:rFonts w:ascii="Calibri" w:eastAsia="Calibri" w:hAnsi="Calibri" w:cs="Calibri"/>
                <w:b/>
                <w:sz w:val="24"/>
                <w:szCs w:val="24"/>
              </w:rPr>
              <w:t xml:space="preserve"> to deliver </w:t>
            </w:r>
            <w:r w:rsidR="00A71A68" w:rsidRPr="006528D9">
              <w:rPr>
                <w:rFonts w:ascii="Calibri" w:eastAsia="Calibri" w:hAnsi="Calibri" w:cs="Calibri"/>
                <w:b/>
                <w:sz w:val="24"/>
                <w:szCs w:val="24"/>
              </w:rPr>
              <w:t>professional development trainings on cultural</w:t>
            </w:r>
            <w:r w:rsidR="002257B7" w:rsidRPr="006528D9">
              <w:rPr>
                <w:rFonts w:ascii="Calibri" w:eastAsia="Calibri" w:hAnsi="Calibri" w:cs="Calibri"/>
                <w:b/>
                <w:sz w:val="24"/>
                <w:szCs w:val="24"/>
              </w:rPr>
              <w:t>ly-c</w:t>
            </w:r>
            <w:r w:rsidR="00A71A68" w:rsidRPr="006528D9">
              <w:rPr>
                <w:rFonts w:ascii="Calibri" w:eastAsia="Calibri" w:hAnsi="Calibri" w:cs="Calibri"/>
                <w:b/>
                <w:sz w:val="24"/>
                <w:szCs w:val="24"/>
              </w:rPr>
              <w:t>ompeten</w:t>
            </w:r>
            <w:r w:rsidR="002257B7" w:rsidRPr="006528D9">
              <w:rPr>
                <w:rFonts w:ascii="Calibri" w:eastAsia="Calibri" w:hAnsi="Calibri" w:cs="Calibri"/>
                <w:b/>
                <w:sz w:val="24"/>
                <w:szCs w:val="24"/>
              </w:rPr>
              <w:t>t</w:t>
            </w:r>
            <w:r w:rsidR="00A71A68" w:rsidRPr="006528D9">
              <w:rPr>
                <w:rFonts w:ascii="Calibri" w:eastAsia="Calibri" w:hAnsi="Calibri" w:cs="Calibri"/>
                <w:b/>
                <w:sz w:val="24"/>
                <w:szCs w:val="24"/>
              </w:rPr>
              <w:t xml:space="preserve"> and trauma-informed service delivery. </w:t>
            </w:r>
            <w:r w:rsidR="002257B7" w:rsidRPr="006528D9">
              <w:rPr>
                <w:rFonts w:ascii="Calibri" w:eastAsia="Calibri" w:hAnsi="Calibri" w:cs="Calibri"/>
                <w:sz w:val="24"/>
                <w:szCs w:val="24"/>
              </w:rPr>
              <w:t xml:space="preserve">The Alameda County Trauma Informed Care Project links agencies to a multitude of resources specifically highlighting trauma-informed care frameworks for service </w:t>
            </w:r>
            <w:r w:rsidR="00F93355" w:rsidRPr="006528D9">
              <w:rPr>
                <w:rFonts w:ascii="Calibri" w:eastAsia="Calibri" w:hAnsi="Calibri" w:cs="Calibri"/>
                <w:sz w:val="24"/>
                <w:szCs w:val="24"/>
              </w:rPr>
              <w:t xml:space="preserve">providers. </w:t>
            </w:r>
            <w:r w:rsidR="0089002E" w:rsidRPr="006528D9">
              <w:rPr>
                <w:rFonts w:ascii="Calibri" w:eastAsia="Calibri" w:hAnsi="Calibri" w:cs="Calibri"/>
                <w:sz w:val="24"/>
                <w:szCs w:val="24"/>
              </w:rPr>
              <w:t xml:space="preserve">The OWDB </w:t>
            </w:r>
            <w:r w:rsidR="00836F1A" w:rsidRPr="006528D9">
              <w:rPr>
                <w:rFonts w:ascii="Calibri" w:eastAsia="Calibri" w:hAnsi="Calibri" w:cs="Calibri"/>
                <w:sz w:val="24"/>
                <w:szCs w:val="24"/>
              </w:rPr>
              <w:t>should</w:t>
            </w:r>
            <w:r w:rsidR="0089002E" w:rsidRPr="006528D9">
              <w:rPr>
                <w:rFonts w:ascii="Calibri" w:eastAsia="Calibri" w:hAnsi="Calibri" w:cs="Calibri"/>
                <w:sz w:val="24"/>
                <w:szCs w:val="24"/>
              </w:rPr>
              <w:t xml:space="preserve"> partner with project staff to identity </w:t>
            </w:r>
            <w:r w:rsidR="005F5E92" w:rsidRPr="006528D9">
              <w:rPr>
                <w:rFonts w:ascii="Calibri" w:eastAsia="Calibri" w:hAnsi="Calibri" w:cs="Calibri"/>
                <w:sz w:val="24"/>
                <w:szCs w:val="24"/>
              </w:rPr>
              <w:t xml:space="preserve">best-fit professional development resources for frontline staff, including </w:t>
            </w:r>
            <w:r w:rsidR="00591023" w:rsidRPr="006528D9">
              <w:rPr>
                <w:rFonts w:ascii="Calibri" w:eastAsia="Calibri" w:hAnsi="Calibri" w:cs="Calibri"/>
                <w:sz w:val="24"/>
                <w:szCs w:val="24"/>
              </w:rPr>
              <w:t xml:space="preserve">accessible </w:t>
            </w:r>
            <w:r w:rsidR="005F5E92" w:rsidRPr="006528D9">
              <w:rPr>
                <w:rFonts w:ascii="Calibri" w:eastAsia="Calibri" w:hAnsi="Calibri" w:cs="Calibri"/>
                <w:sz w:val="24"/>
                <w:szCs w:val="24"/>
              </w:rPr>
              <w:t xml:space="preserve">e-learning </w:t>
            </w:r>
            <w:r w:rsidR="00092CB2" w:rsidRPr="006528D9">
              <w:rPr>
                <w:rFonts w:ascii="Calibri" w:eastAsia="Calibri" w:hAnsi="Calibri" w:cs="Calibri"/>
                <w:sz w:val="24"/>
                <w:szCs w:val="24"/>
              </w:rPr>
              <w:t xml:space="preserve">opportunities. </w:t>
            </w:r>
          </w:p>
        </w:tc>
      </w:tr>
    </w:tbl>
    <w:p w14:paraId="14ADA13E" w14:textId="6DF02A62" w:rsidR="00E45D3F" w:rsidRPr="00206BED" w:rsidRDefault="00A00693" w:rsidP="00206BED">
      <w:pPr>
        <w:pStyle w:val="Heading31"/>
        <w:spacing w:before="240" w:after="120"/>
        <w:rPr>
          <w:sz w:val="24"/>
        </w:rPr>
      </w:pPr>
      <w:r w:rsidRPr="00206BED">
        <w:rPr>
          <w:sz w:val="24"/>
        </w:rPr>
        <w:t xml:space="preserve">Rapid Response </w:t>
      </w:r>
      <w:r w:rsidR="0058568D" w:rsidRPr="00206BED">
        <w:rPr>
          <w:sz w:val="24"/>
        </w:rPr>
        <w:t>&amp;</w:t>
      </w:r>
      <w:r w:rsidRPr="00206BED">
        <w:rPr>
          <w:sz w:val="24"/>
        </w:rPr>
        <w:t xml:space="preserve"> Layoff Aversion Activities</w:t>
      </w:r>
    </w:p>
    <w:p w14:paraId="79925B6E" w14:textId="74567F0C" w:rsidR="00804968" w:rsidRPr="00804968" w:rsidRDefault="006B089F" w:rsidP="00C24D74">
      <w:pPr>
        <w:jc w:val="both"/>
      </w:pPr>
      <w:r>
        <w:t>The OWDB sits inside of the City of Oakland Economic and Workforce Development Department (EWDD), putting it in a unique position to help support the needs of Oakland businesses.</w:t>
      </w:r>
      <w:r w:rsidR="00C24D74">
        <w:t xml:space="preserve"> </w:t>
      </w:r>
      <w:r w:rsidR="00106538">
        <w:t xml:space="preserve">To support rapid response </w:t>
      </w:r>
      <w:r w:rsidR="00B75105">
        <w:t>and layoff aversion efforts, the OWDB will continue to s</w:t>
      </w:r>
      <w:r w:rsidR="00804968" w:rsidRPr="00804968">
        <w:t xml:space="preserve">trengthen linkages between employers and </w:t>
      </w:r>
      <w:r w:rsidR="000402E0">
        <w:t>job seeker</w:t>
      </w:r>
      <w:r w:rsidR="00804968" w:rsidRPr="00804968">
        <w:t xml:space="preserve"> services by coordinating closely and</w:t>
      </w:r>
      <w:r w:rsidR="00B75105">
        <w:t xml:space="preserve"> </w:t>
      </w:r>
      <w:r w:rsidR="00804968" w:rsidRPr="00804968">
        <w:t xml:space="preserve">intentionally with the </w:t>
      </w:r>
      <w:r w:rsidR="0059026D">
        <w:t>One</w:t>
      </w:r>
      <w:r w:rsidR="00804968" w:rsidRPr="00804968">
        <w:t xml:space="preserve"> Stop system</w:t>
      </w:r>
      <w:r w:rsidR="00B75105">
        <w:t xml:space="preserve">. </w:t>
      </w:r>
      <w:r w:rsidR="0059026D">
        <w:t>The OWDB pivoted Rapid Response services to virtual platforms in collaboration with the EDD</w:t>
      </w:r>
      <w:r w:rsidR="00C52072">
        <w:t xml:space="preserve"> and Covered California</w:t>
      </w:r>
      <w:r w:rsidR="0059026D">
        <w:t xml:space="preserve"> in response to the COVID-19 shutdown. Additionally, the event was put on the City of Oakland website for laid off workers to access on demand. </w:t>
      </w:r>
      <w:r w:rsidR="00B75105">
        <w:t xml:space="preserve">The following are representative of the rapid response and layoff aversion strategies employed by the OWDB: </w:t>
      </w:r>
    </w:p>
    <w:p w14:paraId="5E038556" w14:textId="6A6D215F" w:rsidR="00804968" w:rsidRPr="00804968" w:rsidRDefault="000F7E67" w:rsidP="00DC197F">
      <w:pPr>
        <w:numPr>
          <w:ilvl w:val="0"/>
          <w:numId w:val="32"/>
        </w:numPr>
        <w:jc w:val="both"/>
      </w:pPr>
      <w:r w:rsidRPr="00804968">
        <w:t>Develop systems and processes for identifying and gathering information for early</w:t>
      </w:r>
      <w:r w:rsidR="00804968" w:rsidRPr="00804968">
        <w:t xml:space="preserve"> </w:t>
      </w:r>
      <w:r w:rsidRPr="00804968">
        <w:t xml:space="preserve">warning of potential layoffs or opportunities for layoff </w:t>
      </w:r>
      <w:r w:rsidR="001B0855" w:rsidRPr="00804968">
        <w:t>aversion.</w:t>
      </w:r>
    </w:p>
    <w:p w14:paraId="481F1BB8" w14:textId="7770B414" w:rsidR="00804968" w:rsidRPr="00804968" w:rsidRDefault="000F7E67" w:rsidP="00DC197F">
      <w:pPr>
        <w:numPr>
          <w:ilvl w:val="0"/>
          <w:numId w:val="32"/>
        </w:numPr>
        <w:jc w:val="both"/>
      </w:pPr>
      <w:r w:rsidRPr="00804968">
        <w:t xml:space="preserve">Conduct ongoing relationship-building activities with businesses </w:t>
      </w:r>
      <w:r w:rsidR="001B0855" w:rsidRPr="00804968">
        <w:t>to</w:t>
      </w:r>
      <w:r w:rsidRPr="00804968">
        <w:t xml:space="preserve"> create an</w:t>
      </w:r>
      <w:r w:rsidR="00804968" w:rsidRPr="00804968">
        <w:t xml:space="preserve"> </w:t>
      </w:r>
      <w:r w:rsidRPr="00804968">
        <w:t xml:space="preserve">environment for successful layoff aversion </w:t>
      </w:r>
      <w:r w:rsidR="001B0855" w:rsidRPr="00804968">
        <w:t>efforts.</w:t>
      </w:r>
    </w:p>
    <w:p w14:paraId="6C7735C3" w14:textId="40383D7A" w:rsidR="00804968" w:rsidRPr="00804968" w:rsidRDefault="000F7E67" w:rsidP="00DC197F">
      <w:pPr>
        <w:numPr>
          <w:ilvl w:val="0"/>
          <w:numId w:val="32"/>
        </w:numPr>
        <w:jc w:val="both"/>
      </w:pPr>
      <w:r w:rsidRPr="00804968">
        <w:t>Assist employers in managing reductions in force, which may include early</w:t>
      </w:r>
      <w:r w:rsidR="00804968" w:rsidRPr="00804968">
        <w:t xml:space="preserve"> </w:t>
      </w:r>
      <w:r w:rsidRPr="00804968">
        <w:t>identification of firms at risk of layoffs, assessment of the needs of and options for</w:t>
      </w:r>
      <w:r w:rsidR="00804968" w:rsidRPr="00804968">
        <w:t xml:space="preserve"> </w:t>
      </w:r>
      <w:r w:rsidRPr="00804968">
        <w:t xml:space="preserve">at-risk firms, and the delivery of services to address these </w:t>
      </w:r>
      <w:r w:rsidR="001B0855" w:rsidRPr="00804968">
        <w:t>needs.</w:t>
      </w:r>
    </w:p>
    <w:p w14:paraId="34566477" w14:textId="0754A471" w:rsidR="00804968" w:rsidRPr="00804968" w:rsidRDefault="000F7E67" w:rsidP="00DC197F">
      <w:pPr>
        <w:numPr>
          <w:ilvl w:val="0"/>
          <w:numId w:val="32"/>
        </w:numPr>
        <w:jc w:val="both"/>
      </w:pPr>
      <w:r w:rsidRPr="00804968">
        <w:t>Convene service partners to deliver</w:t>
      </w:r>
      <w:r w:rsidR="00804968" w:rsidRPr="00804968">
        <w:t xml:space="preserve"> </w:t>
      </w:r>
      <w:r w:rsidRPr="00804968">
        <w:t xml:space="preserve">services to affected businesses and </w:t>
      </w:r>
      <w:r w:rsidR="001B0855" w:rsidRPr="00804968">
        <w:t>workers.</w:t>
      </w:r>
    </w:p>
    <w:p w14:paraId="7158EEFC" w14:textId="194097B9" w:rsidR="00804968" w:rsidRPr="00804968" w:rsidRDefault="000F7E67" w:rsidP="00DC197F">
      <w:pPr>
        <w:numPr>
          <w:ilvl w:val="0"/>
          <w:numId w:val="32"/>
        </w:numPr>
        <w:jc w:val="both"/>
      </w:pPr>
      <w:r w:rsidRPr="00804968">
        <w:t>Facilitate business access to resources such as loans, technical assistance programs,</w:t>
      </w:r>
      <w:r w:rsidR="00804968" w:rsidRPr="00804968">
        <w:t xml:space="preserve"> </w:t>
      </w:r>
      <w:r w:rsidRPr="00804968">
        <w:t xml:space="preserve">market analyses, and economic development activities to address needs and prevent </w:t>
      </w:r>
      <w:r w:rsidR="001B0855" w:rsidRPr="00804968">
        <w:t>layoffs.</w:t>
      </w:r>
    </w:p>
    <w:p w14:paraId="7BD53DDE" w14:textId="2854509D" w:rsidR="00804968" w:rsidRPr="00804968" w:rsidRDefault="000F7E67" w:rsidP="00DC197F">
      <w:pPr>
        <w:numPr>
          <w:ilvl w:val="0"/>
          <w:numId w:val="32"/>
        </w:numPr>
        <w:jc w:val="both"/>
      </w:pPr>
      <w:r w:rsidRPr="00804968">
        <w:t>Connect businesses and workers to short-term, on-the-job, or customized training</w:t>
      </w:r>
      <w:r w:rsidR="00804968" w:rsidRPr="00804968">
        <w:t xml:space="preserve"> </w:t>
      </w:r>
      <w:r w:rsidRPr="00804968">
        <w:t xml:space="preserve">programs and apprenticeships before or after </w:t>
      </w:r>
      <w:r w:rsidR="001B0855" w:rsidRPr="00804968">
        <w:t>layoff.</w:t>
      </w:r>
      <w:r w:rsidR="006528D9">
        <w:t xml:space="preserve"> </w:t>
      </w:r>
    </w:p>
    <w:p w14:paraId="3EB36576" w14:textId="7BB0742A" w:rsidR="00A80E3D" w:rsidRPr="00804968" w:rsidRDefault="000F7E67" w:rsidP="00C24D74">
      <w:pPr>
        <w:numPr>
          <w:ilvl w:val="0"/>
          <w:numId w:val="32"/>
        </w:numPr>
        <w:jc w:val="both"/>
      </w:pPr>
      <w:r w:rsidRPr="00804968">
        <w:lastRenderedPageBreak/>
        <w:t>Serve as the lead entity in coordinating Rapid Response services in conjunction with OWDB</w:t>
      </w:r>
      <w:r w:rsidR="00804968" w:rsidRPr="00804968">
        <w:t xml:space="preserve"> </w:t>
      </w:r>
      <w:r w:rsidRPr="00804968">
        <w:t>contracted service providers, including reviewing affected workers’ needs, facilitating rapid</w:t>
      </w:r>
      <w:r w:rsidR="00804968" w:rsidRPr="00804968">
        <w:t xml:space="preserve"> </w:t>
      </w:r>
      <w:r w:rsidRPr="00804968">
        <w:t>reemployment efforts, coordinating workshop presentations and offering tools and services</w:t>
      </w:r>
      <w:r w:rsidR="00804968" w:rsidRPr="00804968">
        <w:t xml:space="preserve"> </w:t>
      </w:r>
      <w:r w:rsidRPr="00804968">
        <w:t xml:space="preserve">that support career transition, and other related </w:t>
      </w:r>
      <w:r w:rsidR="003F0B9D" w:rsidRPr="00804968">
        <w:t>services</w:t>
      </w:r>
      <w:r w:rsidR="001B0855">
        <w:t>.</w:t>
      </w:r>
    </w:p>
    <w:p w14:paraId="7622988C" w14:textId="59CD525C" w:rsidR="006B089F" w:rsidRDefault="000F7E67" w:rsidP="003B6DD0">
      <w:pPr>
        <w:numPr>
          <w:ilvl w:val="0"/>
          <w:numId w:val="32"/>
        </w:numPr>
        <w:spacing w:after="120"/>
        <w:jc w:val="both"/>
      </w:pPr>
      <w:r w:rsidRPr="00804968">
        <w:t>Track and report process and outcome measures associated with all activities above</w:t>
      </w:r>
      <w:r w:rsidR="006528D9">
        <w:t>.</w:t>
      </w:r>
    </w:p>
    <w:p w14:paraId="38175FC1" w14:textId="2738A200" w:rsidR="00B12817" w:rsidRPr="006B089F" w:rsidRDefault="00B12817" w:rsidP="00B12817">
      <w:pPr>
        <w:jc w:val="both"/>
      </w:pPr>
      <w:r>
        <w:t xml:space="preserve">Finally, it should be noted that the OWDB participates in ongoing convenings of Rapid Response Coordinators across the greater Bay Area. </w:t>
      </w:r>
      <w:r w:rsidRPr="00A75C0D">
        <w:t>This network, known as the Bay Area Rapid Response Roundtable, has been in existence at least since the Workforce Investment Act (WIA) era and is due for an overhaul so that it is more reflective of today’s business climate and better aligned with WIOA priorities. Meanwhile, because of the scale of participation in this effort, the OWDB continues to participate in this effort to ensure</w:t>
      </w:r>
      <w:r>
        <w:t xml:space="preserve"> that important information from the City of Oakland gets shared more broadly with our Bay Area counterparts.</w:t>
      </w:r>
    </w:p>
    <w:p w14:paraId="20808D77" w14:textId="150AA33C" w:rsidR="00A00693" w:rsidRPr="000E6012" w:rsidRDefault="0058568D" w:rsidP="00AB266F">
      <w:pPr>
        <w:pStyle w:val="Heading31"/>
        <w:spacing w:before="240" w:after="120"/>
        <w:rPr>
          <w:sz w:val="24"/>
        </w:rPr>
      </w:pPr>
      <w:r>
        <w:rPr>
          <w:sz w:val="24"/>
        </w:rPr>
        <w:t>Adult &amp; Dislocated Worker Services</w:t>
      </w:r>
    </w:p>
    <w:p w14:paraId="192B5D9C" w14:textId="411ADC63" w:rsidR="004B4CB4" w:rsidRDefault="00901A01" w:rsidP="004B4CB4">
      <w:pPr>
        <w:jc w:val="both"/>
      </w:pPr>
      <w:r>
        <w:t xml:space="preserve">The OWDB strives to develop a system of seamless coordination among providers and partners in the workforce system that can connect residents, particularly those with barriers to employment, to career pathways leading to family-sustaining jobs in growing industries. </w:t>
      </w:r>
      <w:r w:rsidR="004B4CB4">
        <w:t xml:space="preserve">The OWDB currently contracts with three </w:t>
      </w:r>
      <w:r w:rsidR="00652EB5">
        <w:t xml:space="preserve">(3) </w:t>
      </w:r>
      <w:r w:rsidR="004B4CB4">
        <w:t>local service providers to provide the following</w:t>
      </w:r>
      <w:r w:rsidR="00097B88">
        <w:t xml:space="preserve"> </w:t>
      </w:r>
      <w:r w:rsidR="004B4CB4">
        <w:t xml:space="preserve">WIOA-funded services for adult job seekers and </w:t>
      </w:r>
      <w:r w:rsidR="001E1A89">
        <w:t xml:space="preserve">dislocated </w:t>
      </w:r>
      <w:r w:rsidR="004B4CB4">
        <w:t>workers:</w:t>
      </w:r>
    </w:p>
    <w:p w14:paraId="70747F32" w14:textId="77777777" w:rsidR="004B4CB4" w:rsidRDefault="004B4CB4" w:rsidP="004B4CB4">
      <w:pPr>
        <w:numPr>
          <w:ilvl w:val="0"/>
          <w:numId w:val="32"/>
        </w:numPr>
        <w:spacing w:before="120" w:after="120"/>
        <w:jc w:val="both"/>
      </w:pPr>
      <w:r w:rsidRPr="004B4CB4">
        <w:rPr>
          <w:b/>
        </w:rPr>
        <w:t>Career Services:</w:t>
      </w:r>
      <w:r>
        <w:t xml:space="preserve"> Career Services include assessment, job search and placement assistance, availability of labor market information around high-demand occupations and industry sectors, information about education and training services, access to supportive services, and help with other essential needs. Career services also includes the provision of information about programs and supports that can assist job seekers with skill development and acquisition efforts, whether through classroom training, work experience, or other opportunities. Fundamentally, these services emphasize career planning and guidance and are provided in a manner that most appropriately meets the individual needs and interests of job seeker customers.</w:t>
      </w:r>
    </w:p>
    <w:p w14:paraId="2D9A6123" w14:textId="21945607" w:rsidR="004B4CB4" w:rsidRDefault="004B4CB4" w:rsidP="004B4CB4">
      <w:pPr>
        <w:numPr>
          <w:ilvl w:val="0"/>
          <w:numId w:val="32"/>
        </w:numPr>
        <w:spacing w:after="120"/>
        <w:jc w:val="both"/>
      </w:pPr>
      <w:r w:rsidRPr="004B4CB4">
        <w:rPr>
          <w:b/>
        </w:rPr>
        <w:t>Training Services:</w:t>
      </w:r>
      <w:r>
        <w:t xml:space="preserve"> Training Services include vocational skills training, on-the-job training, integrated vocational and academic training, skills upgrading/retraining, entrepreneurial training, pre-apprenticeship and apprenticeship training, business-customized training, job readiness training in combination with vocational training, and adult education and English language training in combination with other training services. Training services are designed as one or more courses or classes, or a structured regimen, that upon successful completion lead to: (1) a certificate, associate degree or baccalaureate degree; or (2) the skills or competencies needed for a specific job or jobs, an occupation or occupational group, or generally for many types of jobs or occupations, as recognized by employers and determined prior to training. The OWDB works to ensure that WIOA Title I investments in training services are linked to a career pathway in high-growth sectors that have entry-level and mid-level occupations that are in demand in the Oakland metropolitan area or in another area to which an adult or dislocated worker receiving training services is willing to relocate.</w:t>
      </w:r>
    </w:p>
    <w:p w14:paraId="1CC53A00" w14:textId="3A193A27" w:rsidR="004B4CB4" w:rsidRDefault="004B4CB4" w:rsidP="004B4CB4">
      <w:pPr>
        <w:numPr>
          <w:ilvl w:val="0"/>
          <w:numId w:val="32"/>
        </w:numPr>
        <w:spacing w:after="120"/>
        <w:jc w:val="both"/>
      </w:pPr>
      <w:r w:rsidRPr="004B4CB4">
        <w:rPr>
          <w:b/>
        </w:rPr>
        <w:lastRenderedPageBreak/>
        <w:t>Follow-Up Services:</w:t>
      </w:r>
      <w:r>
        <w:t xml:space="preserve"> The OWDB, its contracted service providers, and Oakland businesses are keenly aware that maintaining a job is often much harder than finding one. To this end, the OWDB believes that follow-up services are a critical component to ensuring the success of individuals who receive career development, employment, and training services through the WIOA funds that are under its purview. Follow up services can be of </w:t>
      </w:r>
      <w:r w:rsidR="001B0855">
        <w:t>help</w:t>
      </w:r>
      <w:r>
        <w:t xml:space="preserve"> to many of the priority populations that the OWDB serves, as unexpected challenges with childcare, transportation, and other issues can result in the loss of employment. To this end, OWDB works with its contracted service providers to help ensure that there are people and resources who can help support participants with resources that will facilitate employment retention. </w:t>
      </w:r>
    </w:p>
    <w:p w14:paraId="1B8797C6" w14:textId="49CF8C5D" w:rsidR="00F52EC1" w:rsidRDefault="00F52EC1" w:rsidP="00AB266F">
      <w:pPr>
        <w:pStyle w:val="Heading31"/>
        <w:spacing w:before="240" w:after="120"/>
        <w:rPr>
          <w:sz w:val="24"/>
        </w:rPr>
      </w:pPr>
      <w:r>
        <w:rPr>
          <w:sz w:val="24"/>
        </w:rPr>
        <w:t>Youth Workforce Investment Activities</w:t>
      </w:r>
    </w:p>
    <w:p w14:paraId="3A48AA7F" w14:textId="10C19465" w:rsidR="00FC6E19" w:rsidRDefault="00FC6E19" w:rsidP="00FC6E19"/>
    <w:p w14:paraId="678FA041" w14:textId="514D42A3" w:rsidR="00095267" w:rsidRDefault="00095267" w:rsidP="006B089F">
      <w:pPr>
        <w:jc w:val="both"/>
      </w:pPr>
      <w:r>
        <w:t>The OWDB’s contracted Youth Services providers are charged with delivering a system of coordinated workforce services for enrolled Oakland youth, in partnership with OWDB staff and other OWDB-contracted providers of Adult and Dislocated Worker Services and Business Engagement &amp; Services. Qualities of this system include:</w:t>
      </w:r>
    </w:p>
    <w:p w14:paraId="0A4DC555" w14:textId="73CE6459" w:rsidR="00095267" w:rsidRPr="0046668C" w:rsidRDefault="00095267" w:rsidP="006B089F">
      <w:pPr>
        <w:pStyle w:val="ListParagraph"/>
        <w:numPr>
          <w:ilvl w:val="0"/>
          <w:numId w:val="19"/>
        </w:numPr>
        <w:spacing w:before="120" w:after="120"/>
        <w:rPr>
          <w:sz w:val="24"/>
        </w:rPr>
      </w:pPr>
      <w:r w:rsidRPr="0046668C">
        <w:rPr>
          <w:sz w:val="24"/>
        </w:rPr>
        <w:t xml:space="preserve">Shared goals related to youth educational success, credential attainment, and employment, particularly on high-demand career </w:t>
      </w:r>
      <w:r w:rsidR="001B0855" w:rsidRPr="0046668C">
        <w:rPr>
          <w:sz w:val="24"/>
        </w:rPr>
        <w:t>pathways.</w:t>
      </w:r>
    </w:p>
    <w:p w14:paraId="354A3D89" w14:textId="441DC9B0" w:rsidR="0046668C" w:rsidRPr="0046668C" w:rsidRDefault="00715D5F" w:rsidP="006B089F">
      <w:pPr>
        <w:pStyle w:val="ListParagraph"/>
        <w:numPr>
          <w:ilvl w:val="0"/>
          <w:numId w:val="19"/>
        </w:numPr>
        <w:spacing w:before="120" w:after="120"/>
        <w:rPr>
          <w:sz w:val="24"/>
        </w:rPr>
      </w:pPr>
      <w:r>
        <w:rPr>
          <w:sz w:val="24"/>
        </w:rPr>
        <w:t>“</w:t>
      </w:r>
      <w:r w:rsidR="00095267" w:rsidRPr="0046668C">
        <w:rPr>
          <w:sz w:val="24"/>
        </w:rPr>
        <w:t xml:space="preserve">No wrong door” access to services delivered by a network of service and training </w:t>
      </w:r>
      <w:r w:rsidR="001B0855" w:rsidRPr="0046668C">
        <w:rPr>
          <w:sz w:val="24"/>
        </w:rPr>
        <w:t>providers.</w:t>
      </w:r>
    </w:p>
    <w:p w14:paraId="1BBE28EF" w14:textId="3B0145F5" w:rsidR="0046668C" w:rsidRPr="0046668C" w:rsidRDefault="00095267" w:rsidP="006B089F">
      <w:pPr>
        <w:pStyle w:val="ListParagraph"/>
        <w:numPr>
          <w:ilvl w:val="0"/>
          <w:numId w:val="19"/>
        </w:numPr>
        <w:spacing w:before="120" w:after="120"/>
        <w:rPr>
          <w:sz w:val="24"/>
        </w:rPr>
      </w:pPr>
      <w:r w:rsidRPr="0046668C">
        <w:rPr>
          <w:sz w:val="24"/>
        </w:rPr>
        <w:t xml:space="preserve">Coordinated referrals across available services and </w:t>
      </w:r>
      <w:r w:rsidR="001B0855" w:rsidRPr="0046668C">
        <w:rPr>
          <w:sz w:val="24"/>
        </w:rPr>
        <w:t>providers.</w:t>
      </w:r>
    </w:p>
    <w:p w14:paraId="1FDA0E01" w14:textId="77777777" w:rsidR="0046668C" w:rsidRPr="0046668C" w:rsidRDefault="00095267" w:rsidP="006B089F">
      <w:pPr>
        <w:pStyle w:val="ListParagraph"/>
        <w:numPr>
          <w:ilvl w:val="0"/>
          <w:numId w:val="19"/>
        </w:numPr>
        <w:spacing w:before="120" w:after="120"/>
        <w:rPr>
          <w:sz w:val="24"/>
        </w:rPr>
      </w:pPr>
      <w:r w:rsidRPr="0046668C">
        <w:rPr>
          <w:sz w:val="24"/>
        </w:rPr>
        <w:t>Programs and services aligned as “stepping stones” along training and career pathways;</w:t>
      </w:r>
    </w:p>
    <w:p w14:paraId="7444CE8E" w14:textId="79F5635D" w:rsidR="0046668C" w:rsidRPr="0046668C" w:rsidRDefault="00095267" w:rsidP="006B089F">
      <w:pPr>
        <w:pStyle w:val="ListParagraph"/>
        <w:numPr>
          <w:ilvl w:val="0"/>
          <w:numId w:val="19"/>
        </w:numPr>
        <w:spacing w:before="120" w:after="120"/>
        <w:rPr>
          <w:sz w:val="24"/>
        </w:rPr>
      </w:pPr>
      <w:r w:rsidRPr="0046668C">
        <w:rPr>
          <w:sz w:val="24"/>
        </w:rPr>
        <w:t>Intentional leveraging of funding and other resources;</w:t>
      </w:r>
      <w:r w:rsidR="006528D9">
        <w:rPr>
          <w:sz w:val="24"/>
        </w:rPr>
        <w:t xml:space="preserve"> and</w:t>
      </w:r>
    </w:p>
    <w:p w14:paraId="7EC55C8A" w14:textId="77777777" w:rsidR="00FC6E19" w:rsidRDefault="00095267" w:rsidP="00FC6E19">
      <w:pPr>
        <w:pStyle w:val="ListParagraph"/>
        <w:numPr>
          <w:ilvl w:val="0"/>
          <w:numId w:val="19"/>
        </w:numPr>
        <w:spacing w:before="120" w:after="120"/>
        <w:rPr>
          <w:sz w:val="24"/>
        </w:rPr>
      </w:pPr>
      <w:r w:rsidRPr="0046668C">
        <w:rPr>
          <w:sz w:val="24"/>
        </w:rPr>
        <w:t>Cross-system local and regional partnerships that strengthen connections and services that</w:t>
      </w:r>
      <w:r w:rsidR="0046668C" w:rsidRPr="0046668C">
        <w:rPr>
          <w:sz w:val="24"/>
        </w:rPr>
        <w:t xml:space="preserve"> </w:t>
      </w:r>
      <w:r w:rsidRPr="0046668C">
        <w:rPr>
          <w:sz w:val="24"/>
        </w:rPr>
        <w:t>meet the needs of the most vulnerable young people in the City of Oaklan</w:t>
      </w:r>
      <w:r w:rsidR="0046668C" w:rsidRPr="0046668C">
        <w:rPr>
          <w:sz w:val="24"/>
        </w:rPr>
        <w:t>d</w:t>
      </w:r>
      <w:r w:rsidR="006528D9">
        <w:rPr>
          <w:sz w:val="24"/>
        </w:rPr>
        <w:t>.</w:t>
      </w:r>
    </w:p>
    <w:p w14:paraId="57B20AEC" w14:textId="77777777" w:rsidR="00FC6E19" w:rsidRDefault="00FC6E19" w:rsidP="00FC6E19">
      <w:pPr>
        <w:pStyle w:val="ListParagraph"/>
        <w:spacing w:before="120" w:after="120"/>
        <w:rPr>
          <w:sz w:val="24"/>
        </w:rPr>
      </w:pPr>
    </w:p>
    <w:p w14:paraId="1E433909" w14:textId="1BE19F6B" w:rsidR="00FC6E19" w:rsidRPr="00FC6E19" w:rsidRDefault="00FC6E19" w:rsidP="00FC6E19">
      <w:pPr>
        <w:spacing w:before="120" w:after="120"/>
        <w:rPr>
          <w:rFonts w:cstheme="minorHAnsi"/>
        </w:rPr>
      </w:pPr>
      <w:r w:rsidRPr="00FC6E19">
        <w:rPr>
          <w:rFonts w:cstheme="minorHAnsi"/>
        </w:rPr>
        <w:t>The OWDB has identified the following local priority populations:</w:t>
      </w:r>
    </w:p>
    <w:p w14:paraId="13EFC81E" w14:textId="26F75156" w:rsidR="00FC6E19" w:rsidRPr="00FC6E19" w:rsidRDefault="00FC6E19" w:rsidP="00FC6E19">
      <w:pPr>
        <w:pStyle w:val="ListParagraph"/>
        <w:numPr>
          <w:ilvl w:val="0"/>
          <w:numId w:val="40"/>
        </w:numPr>
        <w:spacing w:after="160" w:line="259" w:lineRule="auto"/>
        <w:jc w:val="left"/>
        <w:rPr>
          <w:rFonts w:cstheme="minorHAnsi"/>
          <w:sz w:val="24"/>
        </w:rPr>
      </w:pPr>
      <w:r w:rsidRPr="00FC6E19">
        <w:rPr>
          <w:rFonts w:cstheme="minorHAnsi"/>
          <w:sz w:val="24"/>
        </w:rPr>
        <w:t>Individuals residing in Oakland neighborhoods with the highest rates of unemployment (East Oakland, Central/Fruitvale, and West Oakland)</w:t>
      </w:r>
      <w:r w:rsidR="001B0855">
        <w:rPr>
          <w:rFonts w:cstheme="minorHAnsi"/>
          <w:sz w:val="24"/>
        </w:rPr>
        <w:t>.</w:t>
      </w:r>
    </w:p>
    <w:p w14:paraId="70DCE310" w14:textId="1487A3C7" w:rsidR="00FC6E19" w:rsidRPr="00FC6E19" w:rsidRDefault="00FC6E19" w:rsidP="00FC6E19">
      <w:pPr>
        <w:pStyle w:val="ListParagraph"/>
        <w:numPr>
          <w:ilvl w:val="0"/>
          <w:numId w:val="40"/>
        </w:numPr>
        <w:spacing w:after="160" w:line="259" w:lineRule="auto"/>
        <w:jc w:val="left"/>
        <w:rPr>
          <w:rFonts w:cstheme="minorHAnsi"/>
          <w:sz w:val="24"/>
        </w:rPr>
      </w:pPr>
      <w:r w:rsidRPr="00FC6E19">
        <w:rPr>
          <w:rFonts w:cstheme="minorHAnsi"/>
          <w:sz w:val="24"/>
        </w:rPr>
        <w:t xml:space="preserve">Unemployed and out-of-school youth who are African American/Black, Latinx, Native American, and Asian/Pacific </w:t>
      </w:r>
      <w:r w:rsidR="001B0855" w:rsidRPr="00FC6E19">
        <w:rPr>
          <w:rFonts w:cstheme="minorHAnsi"/>
          <w:sz w:val="24"/>
        </w:rPr>
        <w:t>Islander.</w:t>
      </w:r>
    </w:p>
    <w:p w14:paraId="64FFD78B" w14:textId="77777777" w:rsidR="00FC6E19" w:rsidRPr="00FC6E19" w:rsidRDefault="00FC6E19" w:rsidP="00FC6E19">
      <w:pPr>
        <w:pStyle w:val="ListParagraph"/>
        <w:numPr>
          <w:ilvl w:val="0"/>
          <w:numId w:val="40"/>
        </w:numPr>
        <w:spacing w:after="160" w:line="259" w:lineRule="auto"/>
        <w:jc w:val="left"/>
        <w:rPr>
          <w:rFonts w:cstheme="minorHAnsi"/>
          <w:sz w:val="24"/>
        </w:rPr>
      </w:pPr>
      <w:r w:rsidRPr="00FC6E19">
        <w:rPr>
          <w:rFonts w:cstheme="minorHAnsi"/>
          <w:sz w:val="24"/>
        </w:rPr>
        <w:t>Currently or former legal/justice-involved individuals (formerly known as re-entry or formerly incarcerated).</w:t>
      </w:r>
    </w:p>
    <w:p w14:paraId="60421229" w14:textId="2A433744" w:rsidR="00592828" w:rsidRDefault="00095267" w:rsidP="00FC6E19">
      <w:pPr>
        <w:jc w:val="both"/>
      </w:pPr>
      <w:r>
        <w:t>OWDB is committed to participating in and advancing regional sector partnerships and</w:t>
      </w:r>
      <w:r w:rsidR="0046668C">
        <w:t xml:space="preserve"> </w:t>
      </w:r>
      <w:r>
        <w:t>strategies.</w:t>
      </w:r>
      <w:r w:rsidR="0046668C">
        <w:t xml:space="preserve"> </w:t>
      </w:r>
      <w:r>
        <w:t>Sector partnerships are regional, employer-driven partnerships of industry,</w:t>
      </w:r>
      <w:r w:rsidR="0046668C">
        <w:t xml:space="preserve"> </w:t>
      </w:r>
      <w:r>
        <w:t>education and training, and</w:t>
      </w:r>
      <w:r w:rsidR="0046668C">
        <w:t xml:space="preserve"> </w:t>
      </w:r>
      <w:r>
        <w:t>other stakeholders that focus on the workforce needs of key</w:t>
      </w:r>
      <w:r w:rsidR="0046668C">
        <w:t xml:space="preserve"> </w:t>
      </w:r>
      <w:r>
        <w:t>industries in a regional labor market.</w:t>
      </w:r>
      <w:r w:rsidR="0046668C">
        <w:t xml:space="preserve"> </w:t>
      </w:r>
      <w:r>
        <w:t>Youth Services providers – along with OWDB and other partners -- will contribute to developing</w:t>
      </w:r>
      <w:r w:rsidR="0046668C">
        <w:t xml:space="preserve"> </w:t>
      </w:r>
      <w:r>
        <w:t xml:space="preserve">career pathways within priority sectors and connecting students, </w:t>
      </w:r>
      <w:r w:rsidR="000402E0">
        <w:t>job seeker</w:t>
      </w:r>
      <w:r>
        <w:t>s, and businesses to</w:t>
      </w:r>
      <w:r w:rsidR="0046668C">
        <w:t xml:space="preserve"> </w:t>
      </w:r>
      <w:r>
        <w:t xml:space="preserve">related services and opportunities. Youth Services providers that utilize WIOA </w:t>
      </w:r>
      <w:r>
        <w:lastRenderedPageBreak/>
        <w:t>training funds must</w:t>
      </w:r>
      <w:r w:rsidR="0046668C">
        <w:t xml:space="preserve"> </w:t>
      </w:r>
      <w:r>
        <w:t>dedicate at least 50% of these funds for training in the priority industry sectors.</w:t>
      </w:r>
      <w:r w:rsidR="0046668C">
        <w:t xml:space="preserve"> </w:t>
      </w:r>
    </w:p>
    <w:p w14:paraId="0BE4C65C" w14:textId="77777777" w:rsidR="00592828" w:rsidRDefault="00592828" w:rsidP="00FC6E19">
      <w:pPr>
        <w:jc w:val="both"/>
      </w:pPr>
    </w:p>
    <w:p w14:paraId="796B8278" w14:textId="31B46154" w:rsidR="005377BE" w:rsidRPr="0094681D" w:rsidRDefault="00095267" w:rsidP="00FC6E19">
      <w:pPr>
        <w:jc w:val="both"/>
      </w:pPr>
      <w:r>
        <w:t>Youth Services contractors coordinate with OWDB staff, the Business Engagement &amp; Services</w:t>
      </w:r>
      <w:r w:rsidR="0046668C">
        <w:t xml:space="preserve"> </w:t>
      </w:r>
      <w:r>
        <w:t>provider, and regional partners to serve businesses in OWDB priority sectors, and to provide</w:t>
      </w:r>
      <w:r w:rsidR="0046668C">
        <w:t xml:space="preserve"> </w:t>
      </w:r>
      <w:r>
        <w:t xml:space="preserve">opportunities for </w:t>
      </w:r>
      <w:r w:rsidR="000402E0">
        <w:t>job seeker</w:t>
      </w:r>
      <w:r>
        <w:t>s to enter and advance in careers in these sectors.</w:t>
      </w:r>
    </w:p>
    <w:p w14:paraId="1E3D67D5" w14:textId="77777777" w:rsidR="00E86EA6" w:rsidRDefault="00E86EA6" w:rsidP="00FC6E19">
      <w:pPr>
        <w:jc w:val="both"/>
      </w:pPr>
    </w:p>
    <w:p w14:paraId="41A3F880" w14:textId="1FA202E4" w:rsidR="00220510" w:rsidRPr="00220510" w:rsidRDefault="00220510" w:rsidP="00FC6E19">
      <w:pPr>
        <w:jc w:val="both"/>
      </w:pPr>
      <w:r w:rsidRPr="00220510">
        <w:t xml:space="preserve">Service providers are required to develop and implement collaborative and innovative approaches to aligning with sector initiatives, leveraging </w:t>
      </w:r>
      <w:r w:rsidR="003970BC" w:rsidRPr="00220510">
        <w:t>resources,</w:t>
      </w:r>
      <w:r w:rsidRPr="00220510">
        <w:t xml:space="preserve"> and strengthening career pathways in OWDB priority sectors, such as: </w:t>
      </w:r>
    </w:p>
    <w:p w14:paraId="6CC3105B" w14:textId="36AA2427" w:rsidR="00220510" w:rsidRPr="00220510" w:rsidRDefault="00220510" w:rsidP="00FC6E19">
      <w:pPr>
        <w:pStyle w:val="ListParagraph"/>
        <w:numPr>
          <w:ilvl w:val="0"/>
          <w:numId w:val="30"/>
        </w:numPr>
        <w:spacing w:before="120" w:after="120"/>
        <w:rPr>
          <w:sz w:val="24"/>
        </w:rPr>
      </w:pPr>
      <w:r w:rsidRPr="00220510">
        <w:rPr>
          <w:sz w:val="24"/>
        </w:rPr>
        <w:t xml:space="preserve">Partnering with Oakland Unified School District (OUSD) career academy programs and Peralta Community College District (PCCCD) career technical education (CTE) programs to enroll eligible youth in training and support their academic and career </w:t>
      </w:r>
      <w:r w:rsidR="00C74003" w:rsidRPr="00220510">
        <w:rPr>
          <w:sz w:val="24"/>
        </w:rPr>
        <w:t>success.</w:t>
      </w:r>
      <w:r w:rsidRPr="00220510">
        <w:rPr>
          <w:sz w:val="24"/>
        </w:rPr>
        <w:t xml:space="preserve"> </w:t>
      </w:r>
    </w:p>
    <w:p w14:paraId="30CC54B4" w14:textId="18B0ABF5" w:rsidR="00220510" w:rsidRPr="00220510" w:rsidRDefault="00220510" w:rsidP="00FC6E19">
      <w:pPr>
        <w:pStyle w:val="ListParagraph"/>
        <w:numPr>
          <w:ilvl w:val="0"/>
          <w:numId w:val="30"/>
        </w:numPr>
        <w:spacing w:before="120" w:after="120"/>
        <w:rPr>
          <w:sz w:val="24"/>
        </w:rPr>
      </w:pPr>
      <w:r w:rsidRPr="00220510">
        <w:rPr>
          <w:sz w:val="24"/>
        </w:rPr>
        <w:t>Designing and delivering training that builds in-demand skills and competencies and helps young people enter and progress along career pathways</w:t>
      </w:r>
      <w:r w:rsidR="00C74003">
        <w:rPr>
          <w:sz w:val="24"/>
        </w:rPr>
        <w:t>.</w:t>
      </w:r>
      <w:r w:rsidRPr="00220510">
        <w:rPr>
          <w:sz w:val="24"/>
        </w:rPr>
        <w:t xml:space="preserve"> </w:t>
      </w:r>
    </w:p>
    <w:p w14:paraId="4C5E76B9" w14:textId="12D73869" w:rsidR="00220510" w:rsidRPr="00220510" w:rsidRDefault="00220510" w:rsidP="00FC6E19">
      <w:pPr>
        <w:pStyle w:val="ListParagraph"/>
        <w:numPr>
          <w:ilvl w:val="0"/>
          <w:numId w:val="30"/>
        </w:numPr>
        <w:spacing w:before="120" w:after="120"/>
        <w:rPr>
          <w:sz w:val="24"/>
        </w:rPr>
      </w:pPr>
      <w:r w:rsidRPr="00220510">
        <w:rPr>
          <w:sz w:val="24"/>
        </w:rPr>
        <w:t>Co-hosting sector-focused events and using sector data to inform and improve programming</w:t>
      </w:r>
      <w:r w:rsidR="00C74003">
        <w:rPr>
          <w:sz w:val="24"/>
        </w:rPr>
        <w:t>.</w:t>
      </w:r>
    </w:p>
    <w:p w14:paraId="145CF6B2" w14:textId="34F95303" w:rsidR="00220510" w:rsidRDefault="00C74003" w:rsidP="00FC6E19">
      <w:pPr>
        <w:pStyle w:val="ListParagraph"/>
        <w:numPr>
          <w:ilvl w:val="0"/>
          <w:numId w:val="30"/>
        </w:numPr>
        <w:spacing w:before="120" w:after="120"/>
        <w:rPr>
          <w:sz w:val="24"/>
        </w:rPr>
      </w:pPr>
      <w:r>
        <w:rPr>
          <w:sz w:val="24"/>
        </w:rPr>
        <w:t>C</w:t>
      </w:r>
      <w:r w:rsidRPr="00220510">
        <w:rPr>
          <w:sz w:val="24"/>
        </w:rPr>
        <w:t>oordinating</w:t>
      </w:r>
      <w:r w:rsidR="00220510" w:rsidRPr="00220510">
        <w:rPr>
          <w:sz w:val="24"/>
        </w:rPr>
        <w:t xml:space="preserve"> services with regional sector strategies and career pathways.</w:t>
      </w:r>
    </w:p>
    <w:p w14:paraId="3F9A14FC" w14:textId="5BF262EC" w:rsidR="005E2171" w:rsidRPr="00760DAB" w:rsidRDefault="00760DAB" w:rsidP="00FC6E19">
      <w:pPr>
        <w:jc w:val="both"/>
        <w:rPr>
          <w:rFonts w:cstheme="minorHAnsi"/>
        </w:rPr>
      </w:pPr>
      <w:r w:rsidRPr="00760DAB">
        <w:rPr>
          <w:rFonts w:cstheme="minorHAnsi"/>
        </w:rPr>
        <w:t>The OWDB administers the City of Oakland’s Summer Youth Employment Program for youth, ages 16-21</w:t>
      </w:r>
      <w:r>
        <w:rPr>
          <w:rFonts w:cstheme="minorHAnsi"/>
        </w:rPr>
        <w:t xml:space="preserve"> that provide</w:t>
      </w:r>
      <w:r w:rsidR="00267853">
        <w:rPr>
          <w:rFonts w:cstheme="minorHAnsi"/>
        </w:rPr>
        <w:t>s</w:t>
      </w:r>
      <w:r w:rsidRPr="00760DAB">
        <w:rPr>
          <w:rFonts w:cstheme="minorHAnsi"/>
        </w:rPr>
        <w:t xml:space="preserve"> opportunities to earn money, gain meaningful work experience and improve job-readiness skills. The program is funded through general funds</w:t>
      </w:r>
      <w:r>
        <w:rPr>
          <w:rFonts w:cstheme="minorHAnsi"/>
        </w:rPr>
        <w:t xml:space="preserve">, local </w:t>
      </w:r>
      <w:r w:rsidR="005E2171">
        <w:rPr>
          <w:rFonts w:cstheme="minorHAnsi"/>
        </w:rPr>
        <w:t>businesses,</w:t>
      </w:r>
      <w:r w:rsidRPr="00760DAB">
        <w:rPr>
          <w:rFonts w:cstheme="minorHAnsi"/>
        </w:rPr>
        <w:t xml:space="preserve"> and philanthropi</w:t>
      </w:r>
      <w:r>
        <w:rPr>
          <w:rFonts w:cstheme="minorHAnsi"/>
        </w:rPr>
        <w:t xml:space="preserve">c </w:t>
      </w:r>
      <w:r w:rsidRPr="00760DAB">
        <w:rPr>
          <w:rFonts w:cstheme="minorHAnsi"/>
        </w:rPr>
        <w:t>organizations. Th</w:t>
      </w:r>
      <w:r w:rsidR="005E2171">
        <w:rPr>
          <w:rFonts w:cstheme="minorHAnsi"/>
        </w:rPr>
        <w:t xml:space="preserve">rough a partnership with the Oakland Fund </w:t>
      </w:r>
      <w:r w:rsidR="00267853">
        <w:rPr>
          <w:rFonts w:cstheme="minorHAnsi"/>
        </w:rPr>
        <w:t>for</w:t>
      </w:r>
      <w:r w:rsidR="005E2171">
        <w:rPr>
          <w:rFonts w:cstheme="minorHAnsi"/>
        </w:rPr>
        <w:t xml:space="preserve"> Children and Youth (OFCY</w:t>
      </w:r>
      <w:r w:rsidR="00267853">
        <w:rPr>
          <w:rFonts w:cstheme="minorHAnsi"/>
        </w:rPr>
        <w:t>),</w:t>
      </w:r>
      <w:r w:rsidR="005E2171">
        <w:rPr>
          <w:rFonts w:cstheme="minorHAnsi"/>
        </w:rPr>
        <w:t xml:space="preserve"> the </w:t>
      </w:r>
      <w:r w:rsidRPr="00760DAB">
        <w:rPr>
          <w:rFonts w:cstheme="minorHAnsi"/>
        </w:rPr>
        <w:t>OWDB funds six (6) youth service provide</w:t>
      </w:r>
      <w:r>
        <w:rPr>
          <w:rFonts w:cstheme="minorHAnsi"/>
        </w:rPr>
        <w:t>r</w:t>
      </w:r>
      <w:r w:rsidR="00267853">
        <w:rPr>
          <w:rFonts w:cstheme="minorHAnsi"/>
        </w:rPr>
        <w:t>s,</w:t>
      </w:r>
      <w:r w:rsidRPr="00760DAB">
        <w:rPr>
          <w:rFonts w:cstheme="minorHAnsi"/>
        </w:rPr>
        <w:t xml:space="preserve"> two </w:t>
      </w:r>
      <w:r>
        <w:rPr>
          <w:rFonts w:cstheme="minorHAnsi"/>
        </w:rPr>
        <w:t xml:space="preserve">(2) </w:t>
      </w:r>
      <w:r w:rsidRPr="00760DAB">
        <w:rPr>
          <w:rFonts w:cstheme="minorHAnsi"/>
        </w:rPr>
        <w:t xml:space="preserve">of which are year-round </w:t>
      </w:r>
      <w:r w:rsidRPr="00267853">
        <w:rPr>
          <w:rFonts w:cstheme="minorHAnsi"/>
        </w:rPr>
        <w:t xml:space="preserve">WIOA programs. </w:t>
      </w:r>
      <w:r w:rsidR="005E2171" w:rsidRPr="00267853">
        <w:rPr>
          <w:rFonts w:cstheme="minorHAnsi"/>
        </w:rPr>
        <w:t xml:space="preserve"> </w:t>
      </w:r>
      <w:r w:rsidR="00267853">
        <w:rPr>
          <w:rFonts w:cstheme="minorHAnsi"/>
        </w:rPr>
        <w:t>T</w:t>
      </w:r>
      <w:r w:rsidR="005E2171" w:rsidRPr="005E2171">
        <w:rPr>
          <w:rFonts w:cstheme="minorHAnsi"/>
        </w:rPr>
        <w:t>he OFC</w:t>
      </w:r>
      <w:r w:rsidR="00267853">
        <w:rPr>
          <w:rFonts w:cstheme="minorHAnsi"/>
        </w:rPr>
        <w:t xml:space="preserve">Y </w:t>
      </w:r>
      <w:r w:rsidR="005E2171" w:rsidRPr="005E2171">
        <w:rPr>
          <w:rFonts w:cstheme="minorHAnsi"/>
          <w:color w:val="000000"/>
        </w:rPr>
        <w:t>is</w:t>
      </w:r>
      <w:r w:rsidR="005E2171" w:rsidRPr="005E2171">
        <w:rPr>
          <w:rFonts w:cstheme="minorHAnsi"/>
          <w:color w:val="000000"/>
          <w:spacing w:val="-2"/>
        </w:rPr>
        <w:t xml:space="preserve"> </w:t>
      </w:r>
      <w:r w:rsidR="005E2171" w:rsidRPr="005E2171">
        <w:rPr>
          <w:rFonts w:cstheme="minorHAnsi"/>
          <w:color w:val="000000"/>
        </w:rPr>
        <w:t>a program</w:t>
      </w:r>
      <w:r w:rsidR="005E2171" w:rsidRPr="005E2171">
        <w:rPr>
          <w:rFonts w:cstheme="minorHAnsi"/>
          <w:color w:val="000000"/>
          <w:spacing w:val="-1"/>
        </w:rPr>
        <w:t xml:space="preserve"> </w:t>
      </w:r>
      <w:r w:rsidR="005E2171" w:rsidRPr="005E2171">
        <w:rPr>
          <w:rFonts w:cstheme="minorHAnsi"/>
          <w:color w:val="000000"/>
        </w:rPr>
        <w:t>of</w:t>
      </w:r>
      <w:r w:rsidR="005E2171" w:rsidRPr="005E2171">
        <w:rPr>
          <w:rFonts w:cstheme="minorHAnsi"/>
          <w:color w:val="000000"/>
          <w:spacing w:val="-1"/>
        </w:rPr>
        <w:t xml:space="preserve"> </w:t>
      </w:r>
      <w:r w:rsidR="005E2171" w:rsidRPr="005E2171">
        <w:rPr>
          <w:rFonts w:cstheme="minorHAnsi"/>
          <w:color w:val="000000"/>
        </w:rPr>
        <w:t>the</w:t>
      </w:r>
      <w:r w:rsidR="005E2171" w:rsidRPr="005E2171">
        <w:rPr>
          <w:rFonts w:cstheme="minorHAnsi"/>
          <w:color w:val="000000"/>
          <w:spacing w:val="-1"/>
        </w:rPr>
        <w:t xml:space="preserve"> </w:t>
      </w:r>
      <w:r w:rsidR="005E2171" w:rsidRPr="005E2171">
        <w:rPr>
          <w:rFonts w:cstheme="minorHAnsi"/>
          <w:color w:val="000000"/>
        </w:rPr>
        <w:t>Human</w:t>
      </w:r>
      <w:r w:rsidR="005E2171" w:rsidRPr="005E2171">
        <w:rPr>
          <w:rFonts w:cstheme="minorHAnsi"/>
          <w:color w:val="000000"/>
          <w:spacing w:val="-1"/>
        </w:rPr>
        <w:t xml:space="preserve"> </w:t>
      </w:r>
      <w:r w:rsidR="005E2171" w:rsidRPr="005E2171">
        <w:rPr>
          <w:rFonts w:cstheme="minorHAnsi"/>
          <w:color w:val="000000"/>
        </w:rPr>
        <w:t>Services</w:t>
      </w:r>
      <w:r w:rsidR="005E2171" w:rsidRPr="005E2171">
        <w:rPr>
          <w:rFonts w:cstheme="minorHAnsi"/>
          <w:color w:val="000000"/>
          <w:spacing w:val="-2"/>
        </w:rPr>
        <w:t xml:space="preserve"> </w:t>
      </w:r>
      <w:r w:rsidR="005E2171" w:rsidRPr="005E2171">
        <w:rPr>
          <w:rFonts w:cstheme="minorHAnsi"/>
          <w:color w:val="000000"/>
        </w:rPr>
        <w:t>Department</w:t>
      </w:r>
      <w:r w:rsidR="005E2171" w:rsidRPr="005E2171">
        <w:rPr>
          <w:rFonts w:cstheme="minorHAnsi"/>
          <w:color w:val="000000"/>
          <w:spacing w:val="-1"/>
        </w:rPr>
        <w:t xml:space="preserve"> </w:t>
      </w:r>
      <w:r w:rsidR="005E2171" w:rsidRPr="005E2171">
        <w:rPr>
          <w:rFonts w:cstheme="minorHAnsi"/>
          <w:color w:val="000000"/>
        </w:rPr>
        <w:t>within</w:t>
      </w:r>
      <w:r w:rsidR="005E2171" w:rsidRPr="005E2171">
        <w:rPr>
          <w:rFonts w:cstheme="minorHAnsi"/>
          <w:color w:val="000000"/>
          <w:spacing w:val="-1"/>
        </w:rPr>
        <w:t xml:space="preserve"> </w:t>
      </w:r>
      <w:r w:rsidR="005E2171" w:rsidRPr="005E2171">
        <w:rPr>
          <w:rFonts w:cstheme="minorHAnsi"/>
          <w:color w:val="000000"/>
        </w:rPr>
        <w:t>the City of</w:t>
      </w:r>
      <w:r w:rsidR="005E2171" w:rsidRPr="005E2171">
        <w:rPr>
          <w:rFonts w:cstheme="minorHAnsi"/>
          <w:color w:val="000000"/>
          <w:spacing w:val="-1"/>
        </w:rPr>
        <w:t xml:space="preserve"> </w:t>
      </w:r>
      <w:r w:rsidR="005E2171" w:rsidRPr="005E2171">
        <w:rPr>
          <w:rFonts w:cstheme="minorHAnsi"/>
          <w:color w:val="000000"/>
        </w:rPr>
        <w:t>Oakland</w:t>
      </w:r>
      <w:r w:rsidR="005E2171" w:rsidRPr="005E2171">
        <w:rPr>
          <w:rFonts w:cstheme="minorHAnsi"/>
          <w:color w:val="000000"/>
          <w:spacing w:val="-1"/>
        </w:rPr>
        <w:t xml:space="preserve"> </w:t>
      </w:r>
      <w:r w:rsidR="005E2171" w:rsidRPr="005E2171">
        <w:rPr>
          <w:rFonts w:cstheme="minorHAnsi"/>
          <w:color w:val="000000"/>
        </w:rPr>
        <w:t>and</w:t>
      </w:r>
      <w:r w:rsidR="005E2171" w:rsidRPr="005E2171">
        <w:rPr>
          <w:rFonts w:cstheme="minorHAnsi"/>
          <w:color w:val="000000"/>
          <w:spacing w:val="-1"/>
        </w:rPr>
        <w:t xml:space="preserve"> </w:t>
      </w:r>
      <w:r w:rsidR="005E2171" w:rsidRPr="005E2171">
        <w:rPr>
          <w:rFonts w:cstheme="minorHAnsi"/>
          <w:color w:val="000000"/>
        </w:rPr>
        <w:t>provides</w:t>
      </w:r>
      <w:r w:rsidR="005E2171" w:rsidRPr="005E2171">
        <w:rPr>
          <w:rFonts w:cstheme="minorHAnsi"/>
          <w:color w:val="000000"/>
          <w:spacing w:val="-2"/>
        </w:rPr>
        <w:t xml:space="preserve"> </w:t>
      </w:r>
      <w:r w:rsidR="005E2171" w:rsidRPr="005E2171">
        <w:rPr>
          <w:rFonts w:cstheme="minorHAnsi"/>
          <w:color w:val="000000"/>
        </w:rPr>
        <w:t>strategic funding to support</w:t>
      </w:r>
      <w:r w:rsidR="005E2171" w:rsidRPr="005E2171">
        <w:rPr>
          <w:rFonts w:cstheme="minorHAnsi"/>
          <w:color w:val="000000"/>
          <w:spacing w:val="-1"/>
        </w:rPr>
        <w:t xml:space="preserve"> </w:t>
      </w:r>
      <w:r w:rsidR="005E2171" w:rsidRPr="005E2171">
        <w:rPr>
          <w:rFonts w:cstheme="minorHAnsi"/>
          <w:color w:val="000000"/>
        </w:rPr>
        <w:t>children</w:t>
      </w:r>
      <w:r w:rsidR="005E2171" w:rsidRPr="005E2171">
        <w:rPr>
          <w:rFonts w:cstheme="minorHAnsi"/>
          <w:color w:val="000000"/>
          <w:spacing w:val="-1"/>
        </w:rPr>
        <w:t xml:space="preserve"> </w:t>
      </w:r>
      <w:r w:rsidR="005E2171" w:rsidRPr="005E2171">
        <w:rPr>
          <w:rFonts w:cstheme="minorHAnsi"/>
          <w:color w:val="000000"/>
        </w:rPr>
        <w:t>and</w:t>
      </w:r>
      <w:r w:rsidR="005E2171" w:rsidRPr="005E2171">
        <w:rPr>
          <w:rFonts w:cstheme="minorHAnsi"/>
          <w:color w:val="000000"/>
          <w:spacing w:val="-1"/>
        </w:rPr>
        <w:t xml:space="preserve"> </w:t>
      </w:r>
      <w:r w:rsidR="005E2171" w:rsidRPr="005E2171">
        <w:rPr>
          <w:rFonts w:cstheme="minorHAnsi"/>
          <w:color w:val="000000"/>
        </w:rPr>
        <w:t>youth</w:t>
      </w:r>
      <w:r w:rsidR="005E2171" w:rsidRPr="005E2171">
        <w:rPr>
          <w:rFonts w:cstheme="minorHAnsi"/>
          <w:color w:val="000000"/>
          <w:spacing w:val="-1"/>
        </w:rPr>
        <w:t xml:space="preserve"> </w:t>
      </w:r>
      <w:r w:rsidR="005E2171" w:rsidRPr="005E2171">
        <w:rPr>
          <w:rFonts w:cstheme="minorHAnsi"/>
          <w:color w:val="000000"/>
        </w:rPr>
        <w:t>from</w:t>
      </w:r>
      <w:r w:rsidR="005E2171" w:rsidRPr="005E2171">
        <w:rPr>
          <w:rFonts w:cstheme="minorHAnsi"/>
          <w:color w:val="000000"/>
          <w:spacing w:val="-1"/>
        </w:rPr>
        <w:t xml:space="preserve"> </w:t>
      </w:r>
      <w:r w:rsidR="005E2171" w:rsidRPr="005E2171">
        <w:rPr>
          <w:rFonts w:cstheme="minorHAnsi"/>
          <w:color w:val="000000"/>
        </w:rPr>
        <w:t>birth</w:t>
      </w:r>
      <w:r w:rsidR="005E2171" w:rsidRPr="005E2171">
        <w:rPr>
          <w:rFonts w:cstheme="minorHAnsi"/>
          <w:color w:val="000000"/>
          <w:spacing w:val="-1"/>
        </w:rPr>
        <w:t xml:space="preserve"> </w:t>
      </w:r>
      <w:r w:rsidR="005E2171" w:rsidRPr="005E2171">
        <w:rPr>
          <w:rFonts w:cstheme="minorHAnsi"/>
          <w:color w:val="000000"/>
        </w:rPr>
        <w:t>to</w:t>
      </w:r>
      <w:r w:rsidR="005E2171" w:rsidRPr="005E2171">
        <w:rPr>
          <w:rFonts w:cstheme="minorHAnsi"/>
          <w:color w:val="000000"/>
          <w:spacing w:val="2"/>
        </w:rPr>
        <w:t xml:space="preserve"> </w:t>
      </w:r>
      <w:r w:rsidR="005E2171" w:rsidRPr="005E2171">
        <w:rPr>
          <w:rFonts w:cstheme="minorHAnsi"/>
          <w:color w:val="000000"/>
        </w:rPr>
        <w:t>20 years</w:t>
      </w:r>
      <w:r w:rsidR="005E2171" w:rsidRPr="005E2171">
        <w:rPr>
          <w:rFonts w:cstheme="minorHAnsi"/>
          <w:color w:val="000000"/>
          <w:spacing w:val="-2"/>
        </w:rPr>
        <w:t xml:space="preserve"> </w:t>
      </w:r>
      <w:r w:rsidR="005E2171" w:rsidRPr="005E2171">
        <w:rPr>
          <w:rFonts w:cstheme="minorHAnsi"/>
          <w:color w:val="000000"/>
        </w:rPr>
        <w:t>of</w:t>
      </w:r>
      <w:r w:rsidR="005E2171" w:rsidRPr="005E2171">
        <w:rPr>
          <w:rFonts w:cstheme="minorHAnsi"/>
          <w:color w:val="000000"/>
          <w:spacing w:val="-1"/>
        </w:rPr>
        <w:t xml:space="preserve"> </w:t>
      </w:r>
      <w:r w:rsidR="005E2171" w:rsidRPr="005E2171">
        <w:rPr>
          <w:rFonts w:cstheme="minorHAnsi"/>
          <w:color w:val="000000"/>
        </w:rPr>
        <w:t>age to</w:t>
      </w:r>
      <w:r w:rsidR="005E2171" w:rsidRPr="005E2171">
        <w:rPr>
          <w:rFonts w:cstheme="minorHAnsi"/>
          <w:color w:val="000000"/>
          <w:spacing w:val="-1"/>
        </w:rPr>
        <w:t xml:space="preserve"> </w:t>
      </w:r>
      <w:r w:rsidR="005E2171" w:rsidRPr="005E2171">
        <w:rPr>
          <w:rFonts w:cstheme="minorHAnsi"/>
          <w:color w:val="000000"/>
        </w:rPr>
        <w:t>help</w:t>
      </w:r>
      <w:r w:rsidR="005E2171" w:rsidRPr="005E2171">
        <w:rPr>
          <w:rFonts w:cstheme="minorHAnsi"/>
          <w:color w:val="000000"/>
          <w:spacing w:val="-1"/>
        </w:rPr>
        <w:t xml:space="preserve"> </w:t>
      </w:r>
      <w:r w:rsidR="005E2171" w:rsidRPr="005E2171">
        <w:rPr>
          <w:rFonts w:cstheme="minorHAnsi"/>
          <w:color w:val="000000"/>
        </w:rPr>
        <w:t>them</w:t>
      </w:r>
      <w:r w:rsidR="005E2171" w:rsidRPr="005E2171">
        <w:rPr>
          <w:rFonts w:cstheme="minorHAnsi"/>
          <w:color w:val="000000"/>
          <w:spacing w:val="-1"/>
        </w:rPr>
        <w:t xml:space="preserve"> </w:t>
      </w:r>
      <w:r w:rsidR="005E2171" w:rsidRPr="005E2171">
        <w:rPr>
          <w:rFonts w:cstheme="minorHAnsi"/>
          <w:color w:val="000000"/>
        </w:rPr>
        <w:t>become</w:t>
      </w:r>
      <w:r w:rsidR="005E2171" w:rsidRPr="005E2171">
        <w:rPr>
          <w:rFonts w:cstheme="minorHAnsi"/>
          <w:color w:val="000000"/>
          <w:spacing w:val="-1"/>
        </w:rPr>
        <w:t xml:space="preserve"> </w:t>
      </w:r>
      <w:r w:rsidR="005E2171" w:rsidRPr="005E2171">
        <w:rPr>
          <w:rFonts w:cstheme="minorHAnsi"/>
          <w:color w:val="000000"/>
        </w:rPr>
        <w:t>healthy, happy, educated,</w:t>
      </w:r>
      <w:r w:rsidR="005E2171" w:rsidRPr="005E2171">
        <w:rPr>
          <w:rFonts w:cstheme="minorHAnsi"/>
          <w:color w:val="000000"/>
          <w:spacing w:val="-3"/>
        </w:rPr>
        <w:t xml:space="preserve"> </w:t>
      </w:r>
      <w:r w:rsidR="005E2171" w:rsidRPr="005E2171">
        <w:rPr>
          <w:rFonts w:cstheme="minorHAnsi"/>
          <w:color w:val="000000"/>
        </w:rPr>
        <w:t>engaged, powerful, and loved community members.</w:t>
      </w:r>
      <w:r w:rsidR="005E2171" w:rsidRPr="005E2171">
        <w:rPr>
          <w:rFonts w:cstheme="minorHAnsi"/>
          <w:color w:val="000000"/>
          <w:spacing w:val="-3"/>
        </w:rPr>
        <w:t xml:space="preserve"> </w:t>
      </w:r>
      <w:r w:rsidR="005E2171" w:rsidRPr="005E2171">
        <w:rPr>
          <w:rFonts w:cstheme="minorHAnsi"/>
          <w:color w:val="000000"/>
        </w:rPr>
        <w:t>Since its</w:t>
      </w:r>
      <w:r w:rsidR="005E2171" w:rsidRPr="005E2171">
        <w:rPr>
          <w:rFonts w:cstheme="minorHAnsi"/>
          <w:color w:val="000000"/>
          <w:spacing w:val="-2"/>
        </w:rPr>
        <w:t xml:space="preserve"> </w:t>
      </w:r>
      <w:r w:rsidR="005E2171" w:rsidRPr="005E2171">
        <w:rPr>
          <w:rFonts w:cstheme="minorHAnsi"/>
          <w:color w:val="000000"/>
        </w:rPr>
        <w:t>inception, OFCY</w:t>
      </w:r>
      <w:r w:rsidR="005E2171" w:rsidRPr="005E2171">
        <w:rPr>
          <w:rFonts w:cstheme="minorHAnsi"/>
          <w:color w:val="000000"/>
          <w:spacing w:val="-2"/>
        </w:rPr>
        <w:t xml:space="preserve"> </w:t>
      </w:r>
      <w:r w:rsidR="005E2171" w:rsidRPr="005E2171">
        <w:rPr>
          <w:rFonts w:cstheme="minorHAnsi"/>
          <w:color w:val="000000"/>
        </w:rPr>
        <w:t>has</w:t>
      </w:r>
      <w:r w:rsidR="005E2171" w:rsidRPr="005E2171">
        <w:rPr>
          <w:rFonts w:cstheme="minorHAnsi"/>
          <w:color w:val="000000"/>
          <w:spacing w:val="-3"/>
        </w:rPr>
        <w:t xml:space="preserve"> </w:t>
      </w:r>
      <w:r w:rsidR="005E2171" w:rsidRPr="005E2171">
        <w:rPr>
          <w:rFonts w:cstheme="minorHAnsi"/>
          <w:color w:val="000000"/>
        </w:rPr>
        <w:t>supported youth</w:t>
      </w:r>
      <w:r w:rsidR="005E2171" w:rsidRPr="005E2171">
        <w:rPr>
          <w:rFonts w:cstheme="minorHAnsi"/>
          <w:color w:val="000000"/>
          <w:spacing w:val="-1"/>
        </w:rPr>
        <w:t xml:space="preserve"> </w:t>
      </w:r>
      <w:r w:rsidR="005E2171" w:rsidRPr="005E2171">
        <w:rPr>
          <w:rFonts w:cstheme="minorHAnsi"/>
          <w:color w:val="000000"/>
        </w:rPr>
        <w:t>workforce programming that</w:t>
      </w:r>
      <w:r w:rsidR="005E2171" w:rsidRPr="005E2171">
        <w:rPr>
          <w:rFonts w:cstheme="minorHAnsi"/>
          <w:color w:val="000000"/>
          <w:spacing w:val="-1"/>
        </w:rPr>
        <w:t xml:space="preserve"> </w:t>
      </w:r>
      <w:r w:rsidR="005E2171" w:rsidRPr="005E2171">
        <w:rPr>
          <w:rFonts w:cstheme="minorHAnsi"/>
          <w:color w:val="000000"/>
        </w:rPr>
        <w:t>provides youth</w:t>
      </w:r>
      <w:r w:rsidR="005E2171" w:rsidRPr="005E2171">
        <w:rPr>
          <w:rFonts w:cstheme="minorHAnsi"/>
          <w:color w:val="000000"/>
          <w:spacing w:val="-1"/>
        </w:rPr>
        <w:t xml:space="preserve"> </w:t>
      </w:r>
      <w:r w:rsidR="005E2171" w:rsidRPr="005E2171">
        <w:rPr>
          <w:rFonts w:cstheme="minorHAnsi"/>
          <w:color w:val="000000"/>
        </w:rPr>
        <w:t>career</w:t>
      </w:r>
      <w:r w:rsidR="005E2171" w:rsidRPr="005E2171">
        <w:rPr>
          <w:rFonts w:cstheme="minorHAnsi"/>
          <w:color w:val="000000"/>
          <w:spacing w:val="-1"/>
        </w:rPr>
        <w:t xml:space="preserve"> </w:t>
      </w:r>
      <w:r w:rsidR="005E2171" w:rsidRPr="005E2171">
        <w:rPr>
          <w:rFonts w:cstheme="minorHAnsi"/>
          <w:color w:val="000000"/>
        </w:rPr>
        <w:t>support, workplace exposure,</w:t>
      </w:r>
      <w:r w:rsidR="005E2171" w:rsidRPr="005E2171">
        <w:rPr>
          <w:rFonts w:cstheme="minorHAnsi"/>
          <w:color w:val="000000"/>
          <w:spacing w:val="-3"/>
        </w:rPr>
        <w:t xml:space="preserve"> </w:t>
      </w:r>
      <w:r w:rsidR="005E2171" w:rsidRPr="005E2171">
        <w:rPr>
          <w:rFonts w:cstheme="minorHAnsi"/>
          <w:color w:val="000000"/>
        </w:rPr>
        <w:t>paid internships, and</w:t>
      </w:r>
      <w:r w:rsidR="005E2171" w:rsidRPr="005E2171">
        <w:rPr>
          <w:rFonts w:cstheme="minorHAnsi"/>
          <w:color w:val="000000"/>
          <w:spacing w:val="-1"/>
        </w:rPr>
        <w:t xml:space="preserve"> </w:t>
      </w:r>
      <w:r w:rsidR="005E2171" w:rsidRPr="005E2171">
        <w:rPr>
          <w:rFonts w:cstheme="minorHAnsi"/>
          <w:color w:val="000000"/>
        </w:rPr>
        <w:t>other</w:t>
      </w:r>
      <w:r w:rsidR="005E2171" w:rsidRPr="005E2171">
        <w:rPr>
          <w:rFonts w:cstheme="minorHAnsi"/>
          <w:color w:val="000000"/>
          <w:spacing w:val="-1"/>
        </w:rPr>
        <w:t xml:space="preserve"> </w:t>
      </w:r>
      <w:r w:rsidR="005E2171" w:rsidRPr="005E2171">
        <w:rPr>
          <w:rFonts w:cstheme="minorHAnsi"/>
          <w:color w:val="000000"/>
        </w:rPr>
        <w:t>youth employment</w:t>
      </w:r>
      <w:r w:rsidR="005E2171" w:rsidRPr="005E2171">
        <w:rPr>
          <w:rFonts w:cstheme="minorHAnsi"/>
          <w:color w:val="000000"/>
          <w:spacing w:val="-1"/>
        </w:rPr>
        <w:t xml:space="preserve"> </w:t>
      </w:r>
      <w:r w:rsidR="005E2171" w:rsidRPr="005E2171">
        <w:rPr>
          <w:rFonts w:cstheme="minorHAnsi"/>
          <w:color w:val="000000"/>
        </w:rPr>
        <w:t xml:space="preserve">opportunities. </w:t>
      </w:r>
    </w:p>
    <w:p w14:paraId="24759C56" w14:textId="0E404A2E" w:rsidR="001C40C9" w:rsidRDefault="001C40C9" w:rsidP="001C40C9">
      <w:pPr>
        <w:pStyle w:val="Heading31"/>
        <w:spacing w:before="240" w:after="120"/>
        <w:rPr>
          <w:sz w:val="24"/>
        </w:rPr>
      </w:pPr>
      <w:r>
        <w:rPr>
          <w:sz w:val="24"/>
        </w:rPr>
        <w:t>Entity Responsible for the Disbursement of Grant Funds</w:t>
      </w:r>
    </w:p>
    <w:p w14:paraId="0B2EC929" w14:textId="08BC057B" w:rsidR="001C40C9" w:rsidRPr="001C40C9" w:rsidRDefault="001C40C9" w:rsidP="001C40C9">
      <w:pPr>
        <w:jc w:val="both"/>
      </w:pPr>
      <w:r w:rsidRPr="001C40C9">
        <w:t>The City of Oakland has multiple departments that play a role in the administration and disbursal of WIOA grant funds:</w:t>
      </w:r>
    </w:p>
    <w:p w14:paraId="58B6F982" w14:textId="53984904" w:rsidR="001C40C9" w:rsidRPr="00C74003" w:rsidRDefault="001C40C9" w:rsidP="001C40C9">
      <w:pPr>
        <w:pStyle w:val="ListParagraph"/>
        <w:numPr>
          <w:ilvl w:val="0"/>
          <w:numId w:val="36"/>
        </w:numPr>
        <w:spacing w:before="120"/>
        <w:rPr>
          <w:sz w:val="24"/>
        </w:rPr>
      </w:pPr>
      <w:r w:rsidRPr="001C40C9">
        <w:rPr>
          <w:sz w:val="24"/>
        </w:rPr>
        <w:t xml:space="preserve">The Oakland Economic and Workforce Development Department (EWDD) houses OWDB program staff who make sure service providers </w:t>
      </w:r>
      <w:r>
        <w:rPr>
          <w:sz w:val="24"/>
        </w:rPr>
        <w:t>follow</w:t>
      </w:r>
      <w:r w:rsidRPr="001C40C9">
        <w:rPr>
          <w:sz w:val="24"/>
        </w:rPr>
        <w:t xml:space="preserve"> WIOA rules and regulations in accordance with federal, state, and local guidelines. OWDB staff review service provider </w:t>
      </w:r>
      <w:r w:rsidRPr="00C74003">
        <w:rPr>
          <w:sz w:val="24"/>
        </w:rPr>
        <w:t>invoices and then submit them to the EWD Administrative Services Manager, who then reviews and approves them to be forwarded to the City of Oakland Finance Department.</w:t>
      </w:r>
    </w:p>
    <w:p w14:paraId="4F730177" w14:textId="04811908" w:rsidR="001C40C9" w:rsidRPr="00C74003" w:rsidRDefault="001C40C9" w:rsidP="001C40C9">
      <w:pPr>
        <w:pStyle w:val="ListParagraph"/>
        <w:numPr>
          <w:ilvl w:val="0"/>
          <w:numId w:val="36"/>
        </w:numPr>
        <w:rPr>
          <w:sz w:val="24"/>
        </w:rPr>
      </w:pPr>
      <w:r w:rsidRPr="00C74003">
        <w:rPr>
          <w:sz w:val="24"/>
        </w:rPr>
        <w:t>The Oakland City Administrator has ultimate funding oversight. These functions are further subdivided as follows:</w:t>
      </w:r>
    </w:p>
    <w:p w14:paraId="459968DD" w14:textId="3B7EBB38" w:rsidR="001C40C9" w:rsidRPr="00C74003" w:rsidRDefault="001C40C9" w:rsidP="001C40C9">
      <w:pPr>
        <w:pStyle w:val="ListParagraph"/>
        <w:numPr>
          <w:ilvl w:val="1"/>
          <w:numId w:val="36"/>
        </w:numPr>
        <w:spacing w:before="120"/>
        <w:contextualSpacing w:val="0"/>
        <w:rPr>
          <w:sz w:val="24"/>
        </w:rPr>
      </w:pPr>
      <w:r w:rsidRPr="00C74003">
        <w:rPr>
          <w:sz w:val="24"/>
        </w:rPr>
        <w:lastRenderedPageBreak/>
        <w:t xml:space="preserve">The Oakland Budget Office is directly under the City Administrator and is responsible for developing and managing the </w:t>
      </w:r>
      <w:r w:rsidR="00392630" w:rsidRPr="00C74003">
        <w:rPr>
          <w:sz w:val="24"/>
        </w:rPr>
        <w:t>city</w:t>
      </w:r>
      <w:r w:rsidRPr="00C74003">
        <w:rPr>
          <w:sz w:val="24"/>
        </w:rPr>
        <w:t xml:space="preserve"> budget.</w:t>
      </w:r>
    </w:p>
    <w:p w14:paraId="536A7B9C" w14:textId="5474F136" w:rsidR="001C40C9" w:rsidRPr="00C74003" w:rsidRDefault="001C40C9" w:rsidP="001C40C9">
      <w:pPr>
        <w:pStyle w:val="ListParagraph"/>
        <w:numPr>
          <w:ilvl w:val="1"/>
          <w:numId w:val="36"/>
        </w:numPr>
        <w:rPr>
          <w:sz w:val="24"/>
        </w:rPr>
      </w:pPr>
      <w:r w:rsidRPr="00C74003">
        <w:rPr>
          <w:sz w:val="24"/>
        </w:rPr>
        <w:t>The Oakland Finance Office is under the purview of an Assistant City Administrator and is responsible for administering WIOA funds and issuing approved payments to OWDB contracted service providers, as well as serving as the lead office for the city’s annual audits and other financial management functions.</w:t>
      </w:r>
    </w:p>
    <w:p w14:paraId="4A0CE48B" w14:textId="687A3464" w:rsidR="00F52EC1" w:rsidRPr="000E6012" w:rsidRDefault="0058568D" w:rsidP="00AB266F">
      <w:pPr>
        <w:pStyle w:val="Heading31"/>
        <w:spacing w:before="240" w:after="120"/>
        <w:rPr>
          <w:sz w:val="24"/>
        </w:rPr>
      </w:pPr>
      <w:r w:rsidRPr="00C74003">
        <w:rPr>
          <w:sz w:val="24"/>
        </w:rPr>
        <w:t>WIOA Title I Sub-Grants and Contracts</w:t>
      </w:r>
    </w:p>
    <w:p w14:paraId="40BE52F9" w14:textId="2F37B38C" w:rsidR="003D55A9" w:rsidRDefault="003137AF" w:rsidP="003D55A9">
      <w:r>
        <w:t>The OWDB and Committees utilize a highly competitive, public, and carefully managed R</w:t>
      </w:r>
      <w:r w:rsidR="008873DA">
        <w:t xml:space="preserve">equest For Proposal (RFP) </w:t>
      </w:r>
      <w:r>
        <w:t xml:space="preserve">process developed to ensure the avoidance of any conflicts of interest </w:t>
      </w:r>
      <w:r w:rsidR="008D2F6D">
        <w:t xml:space="preserve">to award sub-grants and contracts to </w:t>
      </w:r>
      <w:r w:rsidR="006F4ACD">
        <w:t>c</w:t>
      </w:r>
      <w:r w:rsidR="008D2F6D">
        <w:t>ommunity-</w:t>
      </w:r>
      <w:r w:rsidR="006F4ACD">
        <w:t>b</w:t>
      </w:r>
      <w:r w:rsidR="008D2F6D">
        <w:t xml:space="preserve">ased </w:t>
      </w:r>
      <w:r w:rsidR="006F4ACD">
        <w:t>o</w:t>
      </w:r>
      <w:r w:rsidR="008D2F6D">
        <w:t xml:space="preserve">rganizations and other service providers. Currently, the OWDB holds three </w:t>
      </w:r>
      <w:r w:rsidR="006B6F9D">
        <w:t xml:space="preserve">(3) </w:t>
      </w:r>
      <w:r w:rsidR="008D2F6D">
        <w:t xml:space="preserve">contracts with </w:t>
      </w:r>
      <w:r w:rsidR="008873DA">
        <w:t xml:space="preserve">its </w:t>
      </w:r>
      <w:r w:rsidR="008D2F6D">
        <w:t xml:space="preserve">local providers. Each of these contracts were executed following a competitive, rigorous, and public RFP process. </w:t>
      </w:r>
      <w:r w:rsidR="003D55A9">
        <w:t>Future procurements for services are likely to be</w:t>
      </w:r>
      <w:r w:rsidR="007527BD">
        <w:t xml:space="preserve"> </w:t>
      </w:r>
      <w:r w:rsidR="003D55A9">
        <w:t>further informed by this process.</w:t>
      </w:r>
    </w:p>
    <w:p w14:paraId="23FF7C27" w14:textId="398B5CD9" w:rsidR="00202CD6" w:rsidRPr="00826A62" w:rsidRDefault="0053498B" w:rsidP="00826A62">
      <w:pPr>
        <w:pStyle w:val="Heading31"/>
        <w:spacing w:before="240" w:after="120"/>
        <w:rPr>
          <w:sz w:val="24"/>
        </w:rPr>
      </w:pPr>
      <w:r w:rsidRPr="00BA692B">
        <w:rPr>
          <w:sz w:val="24"/>
        </w:rPr>
        <w:t xml:space="preserve">AJCC </w:t>
      </w:r>
      <w:r w:rsidR="00B20170" w:rsidRPr="00BA692B">
        <w:rPr>
          <w:sz w:val="24"/>
        </w:rPr>
        <w:t>Operator &amp; Career Services Provider</w:t>
      </w:r>
      <w:r w:rsidRPr="00BA692B">
        <w:rPr>
          <w:sz w:val="24"/>
        </w:rPr>
        <w:t>s</w:t>
      </w:r>
      <w:r w:rsidR="00B20170" w:rsidRPr="00BA692B">
        <w:rPr>
          <w:sz w:val="24"/>
        </w:rPr>
        <w:t xml:space="preserve"> Contracts</w:t>
      </w:r>
    </w:p>
    <w:p w14:paraId="1741C9DA" w14:textId="0D6620AE" w:rsidR="0052657B" w:rsidRPr="0052657B" w:rsidRDefault="0052657B" w:rsidP="00C56B9F">
      <w:pPr>
        <w:rPr>
          <w:b/>
          <w:u w:val="single"/>
        </w:rPr>
      </w:pPr>
      <w:r w:rsidRPr="0052657B">
        <w:rPr>
          <w:b/>
          <w:u w:val="single"/>
        </w:rPr>
        <w:t>Oakland Private Industry Council</w:t>
      </w:r>
      <w:r w:rsidR="007F0399">
        <w:rPr>
          <w:b/>
          <w:u w:val="single"/>
        </w:rPr>
        <w:t xml:space="preserve"> – </w:t>
      </w:r>
      <w:r w:rsidR="0053498B">
        <w:rPr>
          <w:b/>
          <w:u w:val="single"/>
        </w:rPr>
        <w:t xml:space="preserve">Comprehensive </w:t>
      </w:r>
      <w:r w:rsidR="00C56750">
        <w:rPr>
          <w:b/>
          <w:u w:val="single"/>
        </w:rPr>
        <w:t xml:space="preserve">Adult, Dislocated Worker Services </w:t>
      </w:r>
      <w:r w:rsidR="0053498B">
        <w:rPr>
          <w:b/>
          <w:u w:val="single"/>
        </w:rPr>
        <w:t xml:space="preserve">and AJCC </w:t>
      </w:r>
      <w:r w:rsidRPr="0052657B">
        <w:rPr>
          <w:b/>
          <w:u w:val="single"/>
        </w:rPr>
        <w:t>Stop Operator</w:t>
      </w:r>
    </w:p>
    <w:p w14:paraId="24E3BD04" w14:textId="1BE7678A" w:rsidR="00DE33B3" w:rsidRPr="004C296B" w:rsidRDefault="0052657B" w:rsidP="0052657B">
      <w:pPr>
        <w:jc w:val="both"/>
      </w:pPr>
      <w:r w:rsidRPr="004C296B">
        <w:t xml:space="preserve">The OWDB contracts </w:t>
      </w:r>
      <w:r w:rsidR="00AB24EB" w:rsidRPr="004C296B">
        <w:t>with the Oakland Private Industry Council</w:t>
      </w:r>
      <w:r w:rsidR="00BA692B">
        <w:t xml:space="preserve"> (OPIC)</w:t>
      </w:r>
      <w:r w:rsidR="00AB24EB" w:rsidRPr="004C296B">
        <w:t xml:space="preserve"> as the </w:t>
      </w:r>
      <w:r w:rsidR="0053498B">
        <w:t>AJCC</w:t>
      </w:r>
      <w:r w:rsidR="00AB24EB" w:rsidRPr="004C296B">
        <w:t xml:space="preserve"> Operator and </w:t>
      </w:r>
      <w:r w:rsidRPr="004C296B">
        <w:t xml:space="preserve">Comprehensive </w:t>
      </w:r>
      <w:r w:rsidR="00BA692B">
        <w:t xml:space="preserve">Career </w:t>
      </w:r>
      <w:r w:rsidRPr="004C296B">
        <w:t xml:space="preserve">Center located in </w:t>
      </w:r>
      <w:r w:rsidR="00836F1A" w:rsidRPr="004C296B">
        <w:t xml:space="preserve">West </w:t>
      </w:r>
      <w:r w:rsidRPr="004C296B">
        <w:t>Oakland</w:t>
      </w:r>
      <w:r w:rsidR="00AB24EB" w:rsidRPr="004C296B">
        <w:t>.</w:t>
      </w:r>
      <w:r w:rsidR="00DE33B3" w:rsidRPr="004C296B">
        <w:t xml:space="preserve"> </w:t>
      </w:r>
      <w:r w:rsidR="00BA692B">
        <w:t xml:space="preserve">The Center is responsible for implementing the local Memorandum of Understanding and coordinating partnerships. The OPIC is responsible for submitting quarterly reports of AJCC Operator activities. </w:t>
      </w:r>
      <w:r w:rsidR="00DE33B3" w:rsidRPr="004C296B">
        <w:t>The Center</w:t>
      </w:r>
      <w:r w:rsidRPr="004C296B">
        <w:t xml:space="preserve"> </w:t>
      </w:r>
      <w:r w:rsidR="00BA692B">
        <w:t xml:space="preserve">also </w:t>
      </w:r>
      <w:r w:rsidRPr="004C296B">
        <w:t>provides WIOA Title I funded services to adult job seekers and workers.</w:t>
      </w:r>
      <w:r w:rsidR="00C56750" w:rsidRPr="004C296B">
        <w:t xml:space="preserve"> The OPIC also operates a satellite center near the Lake Merritt are</w:t>
      </w:r>
      <w:r w:rsidR="002F7020" w:rsidRPr="004C296B">
        <w:t>a</w:t>
      </w:r>
      <w:r w:rsidR="00C56750" w:rsidRPr="004C296B">
        <w:t xml:space="preserve"> in Oakland. </w:t>
      </w:r>
      <w:r w:rsidRPr="004C296B">
        <w:t xml:space="preserve">These locations provide career development resources, including the posting of employment opportunities; skills assessments; occupational and labor market information; career coaching; referrals to supportive services and training programs; and a variety of other </w:t>
      </w:r>
      <w:r w:rsidR="00DE33B3" w:rsidRPr="004C296B">
        <w:t>services.</w:t>
      </w:r>
      <w:r w:rsidR="0053498B">
        <w:t xml:space="preserve"> </w:t>
      </w:r>
    </w:p>
    <w:p w14:paraId="071DE0AF" w14:textId="77777777" w:rsidR="00DE33B3" w:rsidRDefault="00DE33B3" w:rsidP="0052657B">
      <w:pPr>
        <w:jc w:val="both"/>
        <w:rPr>
          <w:highlight w:val="yellow"/>
        </w:rPr>
      </w:pPr>
    </w:p>
    <w:p w14:paraId="6CE4C772" w14:textId="1FC46497" w:rsidR="0052657B" w:rsidRDefault="0052657B" w:rsidP="00C56B9F">
      <w:pPr>
        <w:rPr>
          <w:rFonts w:ascii="SymbolMT" w:hAnsi="SymbolMT"/>
        </w:rPr>
      </w:pPr>
    </w:p>
    <w:p w14:paraId="2539263B" w14:textId="68FA7DBF" w:rsidR="006D0268" w:rsidRPr="0052657B" w:rsidRDefault="00F30961" w:rsidP="006D0268">
      <w:pPr>
        <w:rPr>
          <w:b/>
          <w:u w:val="single"/>
        </w:rPr>
      </w:pPr>
      <w:r>
        <w:rPr>
          <w:b/>
          <w:u w:val="single"/>
        </w:rPr>
        <w:t>Lao Family Community Development</w:t>
      </w:r>
      <w:r w:rsidR="006220E7">
        <w:rPr>
          <w:b/>
          <w:u w:val="single"/>
        </w:rPr>
        <w:t xml:space="preserve"> – </w:t>
      </w:r>
      <w:r w:rsidR="00C56750">
        <w:rPr>
          <w:b/>
          <w:u w:val="single"/>
        </w:rPr>
        <w:t>Adult, Dislocated Worker and Youth</w:t>
      </w:r>
      <w:r w:rsidR="001A407B">
        <w:rPr>
          <w:b/>
          <w:u w:val="single"/>
        </w:rPr>
        <w:t xml:space="preserve"> </w:t>
      </w:r>
      <w:r w:rsidR="006220E7">
        <w:rPr>
          <w:b/>
          <w:u w:val="single"/>
        </w:rPr>
        <w:t>Services</w:t>
      </w:r>
    </w:p>
    <w:p w14:paraId="1C7C5AEF" w14:textId="73D513AD" w:rsidR="006D0268" w:rsidRDefault="006D0268" w:rsidP="006D0268">
      <w:pPr>
        <w:jc w:val="both"/>
      </w:pPr>
      <w:r>
        <w:t xml:space="preserve">The OWDB </w:t>
      </w:r>
      <w:r w:rsidR="00CB49C8">
        <w:t>is currently in contract with</w:t>
      </w:r>
      <w:r>
        <w:t xml:space="preserve"> </w:t>
      </w:r>
      <w:r w:rsidR="00CB49C8">
        <w:t xml:space="preserve">Lao Family Community Development, Inc., a </w:t>
      </w:r>
      <w:r w:rsidR="006F4ACD">
        <w:t>c</w:t>
      </w:r>
      <w:r w:rsidR="00CB49C8">
        <w:t>ommunity-</w:t>
      </w:r>
      <w:r w:rsidR="006F4ACD">
        <w:t>b</w:t>
      </w:r>
      <w:r w:rsidR="00CB49C8">
        <w:t xml:space="preserve">ased </w:t>
      </w:r>
      <w:r w:rsidR="006F4ACD">
        <w:t>o</w:t>
      </w:r>
      <w:r w:rsidR="00CB49C8">
        <w:t>rganization</w:t>
      </w:r>
      <w:r w:rsidR="00C56750">
        <w:t xml:space="preserve"> located in East Oakland</w:t>
      </w:r>
      <w:r w:rsidR="00CB49C8">
        <w:t xml:space="preserve">, </w:t>
      </w:r>
      <w:r w:rsidR="002F7020">
        <w:t xml:space="preserve">providing </w:t>
      </w:r>
      <w:r w:rsidR="00CB49C8">
        <w:t xml:space="preserve">comprehensive training services, including youth </w:t>
      </w:r>
      <w:r w:rsidR="007A058E">
        <w:t xml:space="preserve">training and employment </w:t>
      </w:r>
      <w:r w:rsidR="00CB49C8">
        <w:t xml:space="preserve">services, adult training services, prison-to-employment services for the justice-involved population, and direct client support services. </w:t>
      </w:r>
      <w:r w:rsidR="00295A47">
        <w:t>These services are integrated with WIOA core and required partner service delivery and the workforce service</w:t>
      </w:r>
      <w:r w:rsidR="00C72E7D">
        <w:t>s</w:t>
      </w:r>
      <w:r w:rsidR="00295A47">
        <w:t xml:space="preserve"> landscape in Oakland.</w:t>
      </w:r>
      <w:r w:rsidR="008B7B99">
        <w:t xml:space="preserve"> </w:t>
      </w:r>
      <w:r w:rsidR="00C56750">
        <w:t xml:space="preserve">Lao Family Community Development also operates a Satellite office.  </w:t>
      </w:r>
      <w:r w:rsidR="00F6260E">
        <w:t>Lao Family Community Development is</w:t>
      </w:r>
      <w:r w:rsidR="00C56750">
        <w:t xml:space="preserve"> currently in the process of opening a 3</w:t>
      </w:r>
      <w:r w:rsidR="00C56750" w:rsidRPr="00C56750">
        <w:rPr>
          <w:vertAlign w:val="superscript"/>
        </w:rPr>
        <w:t>rd</w:t>
      </w:r>
      <w:r w:rsidR="00C56750">
        <w:t xml:space="preserve"> Center in East Oakland that will be collocated at a transitional housing facility. </w:t>
      </w:r>
    </w:p>
    <w:p w14:paraId="4C53B837" w14:textId="7751ABED" w:rsidR="0052657B" w:rsidRDefault="0052657B" w:rsidP="00C56B9F">
      <w:pPr>
        <w:rPr>
          <w:rFonts w:ascii="SymbolMT" w:hAnsi="SymbolMT"/>
        </w:rPr>
      </w:pPr>
    </w:p>
    <w:p w14:paraId="3D3EA346" w14:textId="76394BFB" w:rsidR="004B2951" w:rsidRPr="0052657B" w:rsidRDefault="004B2951" w:rsidP="004B2951">
      <w:pPr>
        <w:rPr>
          <w:b/>
          <w:u w:val="single"/>
        </w:rPr>
      </w:pPr>
      <w:r>
        <w:rPr>
          <w:b/>
          <w:u w:val="single"/>
        </w:rPr>
        <w:t>The Unit</w:t>
      </w:r>
      <w:r w:rsidR="001C753D">
        <w:rPr>
          <w:b/>
          <w:u w:val="single"/>
        </w:rPr>
        <w:t>y</w:t>
      </w:r>
      <w:r>
        <w:rPr>
          <w:b/>
          <w:u w:val="single"/>
        </w:rPr>
        <w:t xml:space="preserve"> Council – </w:t>
      </w:r>
      <w:r w:rsidR="009E18E9">
        <w:rPr>
          <w:b/>
          <w:u w:val="single"/>
        </w:rPr>
        <w:t>Adult, Dislocated Worker &amp; Youth</w:t>
      </w:r>
      <w:r w:rsidR="00C56750">
        <w:rPr>
          <w:b/>
          <w:u w:val="single"/>
        </w:rPr>
        <w:t xml:space="preserve"> </w:t>
      </w:r>
      <w:r w:rsidR="006220E7">
        <w:rPr>
          <w:b/>
          <w:u w:val="single"/>
        </w:rPr>
        <w:t>Services</w:t>
      </w:r>
    </w:p>
    <w:p w14:paraId="1136E5EB" w14:textId="6DCB4950" w:rsidR="00710078" w:rsidRDefault="00710078" w:rsidP="00710078">
      <w:pPr>
        <w:jc w:val="both"/>
      </w:pPr>
      <w:r w:rsidRPr="004C296B">
        <w:t xml:space="preserve">The OWDB is currently in contract with The Unity Council, a </w:t>
      </w:r>
      <w:r w:rsidR="006F4ACD" w:rsidRPr="004C296B">
        <w:t>c</w:t>
      </w:r>
      <w:r w:rsidRPr="004C296B">
        <w:t>ommunity-</w:t>
      </w:r>
      <w:r w:rsidR="006F4ACD" w:rsidRPr="004C296B">
        <w:t>b</w:t>
      </w:r>
      <w:r w:rsidRPr="004C296B">
        <w:t xml:space="preserve">ased </w:t>
      </w:r>
      <w:r w:rsidR="006F4ACD" w:rsidRPr="004C296B">
        <w:t>o</w:t>
      </w:r>
      <w:r w:rsidRPr="004C296B">
        <w:t>rganization</w:t>
      </w:r>
      <w:r w:rsidR="00C56750" w:rsidRPr="004C296B">
        <w:t xml:space="preserve"> located in Central Oakland</w:t>
      </w:r>
      <w:r w:rsidRPr="004C296B">
        <w:t xml:space="preserve">, </w:t>
      </w:r>
      <w:r w:rsidR="002F7020" w:rsidRPr="004C296B">
        <w:t xml:space="preserve">providing comprehensive training services, including youth training and employment services, adult training </w:t>
      </w:r>
      <w:r w:rsidR="00F6260E" w:rsidRPr="004C296B">
        <w:t>services, and</w:t>
      </w:r>
      <w:r w:rsidR="002F7020" w:rsidRPr="004C296B">
        <w:t xml:space="preserve"> direct client support services. </w:t>
      </w:r>
      <w:r w:rsidRPr="004C296B">
        <w:t xml:space="preserve"> </w:t>
      </w:r>
      <w:r w:rsidR="00C579F0" w:rsidRPr="004C296B">
        <w:t xml:space="preserve">These </w:t>
      </w:r>
      <w:r w:rsidR="00C579F0" w:rsidRPr="004C296B">
        <w:lastRenderedPageBreak/>
        <w:t>services are integrated with WIOA core and required partner service delivery and the workforce service</w:t>
      </w:r>
      <w:r w:rsidR="00C72E7D" w:rsidRPr="004C296B">
        <w:t>s</w:t>
      </w:r>
      <w:r w:rsidR="00C579F0" w:rsidRPr="004C296B">
        <w:t xml:space="preserve"> landscape in Oakland.</w:t>
      </w:r>
    </w:p>
    <w:p w14:paraId="1D858BD1" w14:textId="77777777" w:rsidR="001C753D" w:rsidRDefault="001C753D" w:rsidP="00B051A3">
      <w:pPr>
        <w:spacing w:after="120"/>
        <w:rPr>
          <w:b/>
        </w:rPr>
      </w:pPr>
    </w:p>
    <w:p w14:paraId="08C19055" w14:textId="099A0363" w:rsidR="00B051A3" w:rsidRDefault="00B051A3" w:rsidP="00B051A3">
      <w:pPr>
        <w:spacing w:after="120"/>
        <w:rPr>
          <w:b/>
        </w:rPr>
      </w:pPr>
      <w:r>
        <w:rPr>
          <w:b/>
        </w:rPr>
        <w:t xml:space="preserve">Spotlight: </w:t>
      </w:r>
      <w:r w:rsidRPr="00D33245">
        <w:rPr>
          <w:b/>
        </w:rPr>
        <w:t>Equity Indicators</w:t>
      </w:r>
      <w:r>
        <w:rPr>
          <w:b/>
        </w:rPr>
        <w:t xml:space="preserve"> &amp; WIOA Title I Coordination</w:t>
      </w:r>
    </w:p>
    <w:p w14:paraId="7480B45E" w14:textId="515053B7" w:rsidR="009B58C4" w:rsidRPr="00D33245" w:rsidRDefault="009B58C4" w:rsidP="00243B65">
      <w:pPr>
        <w:rPr>
          <w:b/>
        </w:rPr>
      </w:pPr>
      <w:r>
        <w:t xml:space="preserve">Many of the above strategy areas and objectives articulate with one or more of the indicators in the 2018 Oakland Equity Indicators Report. The table below lists these relationships. </w:t>
      </w:r>
    </w:p>
    <w:tbl>
      <w:tblPr>
        <w:tblStyle w:val="PlainTable1"/>
        <w:tblW w:w="9354" w:type="dxa"/>
        <w:tblLook w:val="04A0" w:firstRow="1" w:lastRow="0" w:firstColumn="1" w:lastColumn="0" w:noHBand="0" w:noVBand="1"/>
      </w:tblPr>
      <w:tblGrid>
        <w:gridCol w:w="1305"/>
        <w:gridCol w:w="8049"/>
      </w:tblGrid>
      <w:tr w:rsidR="009B58C4" w14:paraId="4AE506B8" w14:textId="77777777" w:rsidTr="00E64B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
          </w:tcPr>
          <w:p w14:paraId="06F6F36B" w14:textId="3AAFE593" w:rsidR="009B58C4" w:rsidRDefault="009B58C4" w:rsidP="00E64B6C">
            <w:pPr>
              <w:jc w:val="center"/>
            </w:pPr>
            <w:r w:rsidRPr="001B47F3">
              <w:t xml:space="preserve">Oakland Equity Indicators Crosswalk – </w:t>
            </w:r>
            <w:r w:rsidRPr="00DC48DB">
              <w:t>WIOA Title I Coordination</w:t>
            </w:r>
          </w:p>
        </w:tc>
      </w:tr>
      <w:tr w:rsidR="009B58C4" w14:paraId="3A08ED77" w14:textId="77777777" w:rsidTr="00E64B6C">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293" w:type="dxa"/>
            <w:tcBorders>
              <w:right w:val="single" w:sz="4" w:space="0" w:color="F2F2F2" w:themeColor="background1" w:themeShade="F2"/>
            </w:tcBorders>
          </w:tcPr>
          <w:p w14:paraId="4F3F992F" w14:textId="77777777" w:rsidR="009B58C4" w:rsidRPr="00827F01" w:rsidRDefault="009B58C4" w:rsidP="00E64B6C">
            <w:pPr>
              <w:ind w:left="360"/>
            </w:pPr>
            <w:r w:rsidRPr="00CB7149">
              <w:rPr>
                <w:noProof/>
              </w:rPr>
              <w:drawing>
                <wp:anchor distT="0" distB="0" distL="114300" distR="114300" simplePos="0" relativeHeight="251681792" behindDoc="1" locked="0" layoutInCell="1" allowOverlap="1" wp14:anchorId="038AB4F7" wp14:editId="7B4D2D30">
                  <wp:simplePos x="0" y="0"/>
                  <wp:positionH relativeFrom="column">
                    <wp:posOffset>-33020</wp:posOffset>
                  </wp:positionH>
                  <wp:positionV relativeFrom="paragraph">
                    <wp:posOffset>63500</wp:posOffset>
                  </wp:positionV>
                  <wp:extent cx="691515" cy="601345"/>
                  <wp:effectExtent l="0" t="0" r="0" b="0"/>
                  <wp:wrapTight wrapText="bothSides">
                    <wp:wrapPolygon edited="0">
                      <wp:start x="2777" y="912"/>
                      <wp:lineTo x="397" y="8667"/>
                      <wp:lineTo x="1587" y="16422"/>
                      <wp:lineTo x="2380" y="20528"/>
                      <wp:lineTo x="20628" y="20528"/>
                      <wp:lineTo x="21025" y="17791"/>
                      <wp:lineTo x="20628" y="9124"/>
                      <wp:lineTo x="19041" y="912"/>
                      <wp:lineTo x="2777" y="9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4944" t="21965" r="17379" b="19158"/>
                          <a:stretch/>
                        </pic:blipFill>
                        <pic:spPr bwMode="auto">
                          <a:xfrm>
                            <a:off x="0" y="0"/>
                            <a:ext cx="691515"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061" w:type="dxa"/>
            <w:tcBorders>
              <w:left w:val="single" w:sz="4" w:space="0" w:color="F2F2F2" w:themeColor="background1" w:themeShade="F2"/>
            </w:tcBorders>
          </w:tcPr>
          <w:p w14:paraId="58E4745C" w14:textId="507DF327" w:rsidR="009B58C4" w:rsidRPr="00F47240" w:rsidRDefault="009B58C4" w:rsidP="009B58C4">
            <w:pPr>
              <w:pStyle w:val="ListParagraph"/>
              <w:numPr>
                <w:ilvl w:val="0"/>
                <w:numId w:val="18"/>
              </w:numPr>
              <w:ind w:left="380" w:hanging="251"/>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All </w:t>
            </w:r>
            <w:r w:rsidRPr="00DC48DB">
              <w:rPr>
                <w:b/>
                <w:sz w:val="24"/>
              </w:rPr>
              <w:t xml:space="preserve">of the WIOA Title I Coordination strategies support </w:t>
            </w:r>
            <w:r w:rsidRPr="00DC48DB">
              <w:rPr>
                <w:sz w:val="24"/>
              </w:rPr>
              <w:t>Labor Force Participation</w:t>
            </w:r>
            <w:r>
              <w:rPr>
                <w:sz w:val="24"/>
              </w:rPr>
              <w:t xml:space="preserve">, Unemployment, Living Wage, </w:t>
            </w:r>
            <w:r>
              <w:rPr>
                <w:b/>
                <w:sz w:val="24"/>
              </w:rPr>
              <w:t xml:space="preserve">and </w:t>
            </w:r>
            <w:r w:rsidRPr="00DC48DB">
              <w:rPr>
                <w:sz w:val="24"/>
              </w:rPr>
              <w:t>Workforce Development Programs</w:t>
            </w:r>
            <w:r w:rsidRPr="00DC48DB">
              <w:rPr>
                <w:b/>
                <w:sz w:val="24"/>
              </w:rPr>
              <w:t xml:space="preserve">. </w:t>
            </w:r>
          </w:p>
          <w:p w14:paraId="55E47FD5" w14:textId="4F50E1A3" w:rsidR="009B58C4" w:rsidRPr="00CB7149" w:rsidRDefault="009B58C4" w:rsidP="009B58C4">
            <w:pPr>
              <w:pStyle w:val="ListParagraph"/>
              <w:numPr>
                <w:ilvl w:val="0"/>
                <w:numId w:val="18"/>
              </w:numPr>
              <w:ind w:left="376" w:hanging="286"/>
              <w:cnfStyle w:val="000000100000" w:firstRow="0" w:lastRow="0" w:firstColumn="0" w:lastColumn="0" w:oddVBand="0" w:evenVBand="0" w:oddHBand="1" w:evenHBand="0" w:firstRowFirstColumn="0" w:firstRowLastColumn="0" w:lastRowFirstColumn="0" w:lastRowLastColumn="0"/>
              <w:rPr>
                <w:noProof/>
                <w:sz w:val="24"/>
              </w:rPr>
            </w:pPr>
            <w:r w:rsidRPr="00DC48DB">
              <w:rPr>
                <w:b/>
                <w:sz w:val="24"/>
              </w:rPr>
              <w:t xml:space="preserve">Strategies implemented in partnership with Youth Services Providers support </w:t>
            </w:r>
            <w:r w:rsidRPr="008A1DB0">
              <w:rPr>
                <w:sz w:val="24"/>
              </w:rPr>
              <w:t>L</w:t>
            </w:r>
            <w:r w:rsidRPr="00DC48DB">
              <w:rPr>
                <w:sz w:val="24"/>
              </w:rPr>
              <w:t xml:space="preserve">abor Force Participation, </w:t>
            </w:r>
            <w:r>
              <w:rPr>
                <w:sz w:val="24"/>
              </w:rPr>
              <w:t xml:space="preserve">Unemployment, </w:t>
            </w:r>
            <w:r w:rsidRPr="00DC48DB">
              <w:rPr>
                <w:sz w:val="24"/>
              </w:rPr>
              <w:t>Workforce Development Programs, Disconnected Youth, Linked Learning Pathways Enrollment</w:t>
            </w:r>
            <w:r>
              <w:rPr>
                <w:sz w:val="24"/>
              </w:rPr>
              <w:t xml:space="preserve">, </w:t>
            </w:r>
            <w:r>
              <w:rPr>
                <w:b/>
                <w:sz w:val="24"/>
              </w:rPr>
              <w:t xml:space="preserve">and </w:t>
            </w:r>
            <w:r>
              <w:rPr>
                <w:sz w:val="24"/>
              </w:rPr>
              <w:t>High School Completion.</w:t>
            </w:r>
          </w:p>
        </w:tc>
      </w:tr>
    </w:tbl>
    <w:p w14:paraId="688B47D1" w14:textId="1031611C" w:rsidR="00956DDE" w:rsidRPr="00956DDE" w:rsidRDefault="00E708F4" w:rsidP="00956DDE">
      <w:pPr>
        <w:keepNext/>
        <w:keepLines/>
        <w:spacing w:before="240"/>
        <w:outlineLvl w:val="0"/>
        <w:rPr>
          <w:rFonts w:ascii="Cambria" w:eastAsia="Times New Roman" w:hAnsi="Cambria" w:cs="Times New Roman"/>
          <w:b/>
          <w:iCs/>
          <w:color w:val="009CCE"/>
          <w:sz w:val="28"/>
          <w:szCs w:val="28"/>
        </w:rPr>
      </w:pPr>
      <w:r>
        <w:rPr>
          <w:rFonts w:ascii="Cambria" w:eastAsia="Times New Roman" w:hAnsi="Cambria" w:cs="Times New Roman"/>
          <w:b/>
          <w:iCs/>
          <w:color w:val="009CCE"/>
          <w:sz w:val="28"/>
          <w:szCs w:val="28"/>
        </w:rPr>
        <w:t>Appendix A: Stakeholder and Community Engagement Summary</w:t>
      </w:r>
    </w:p>
    <w:p w14:paraId="424EFFD5" w14:textId="77777777" w:rsidR="00956DDE" w:rsidRPr="00956DDE" w:rsidRDefault="00956DDE" w:rsidP="00956DDE">
      <w:pPr>
        <w:jc w:val="both"/>
        <w:rPr>
          <w:rFonts w:ascii="Calibri" w:eastAsia="Calibri" w:hAnsi="Calibri" w:cs="Times New Roman"/>
          <w:sz w:val="22"/>
        </w:rPr>
      </w:pPr>
    </w:p>
    <w:p w14:paraId="0C5C6355" w14:textId="347BFCC0" w:rsidR="00F93097" w:rsidRDefault="00956DDE" w:rsidP="00956DDE">
      <w:pPr>
        <w:tabs>
          <w:tab w:val="left" w:pos="270"/>
        </w:tabs>
        <w:jc w:val="both"/>
        <w:rPr>
          <w:rFonts w:ascii="Calibri" w:eastAsia="Calibri" w:hAnsi="Calibri" w:cs="Times New Roman"/>
        </w:rPr>
      </w:pPr>
      <w:r w:rsidRPr="00956DDE">
        <w:rPr>
          <w:rFonts w:ascii="Calibri" w:eastAsia="Calibri" w:hAnsi="Calibri" w:cs="Times New Roman"/>
        </w:rPr>
        <w:t xml:space="preserve">Stakeholders who participated in the </w:t>
      </w:r>
      <w:r w:rsidR="00BC3729">
        <w:rPr>
          <w:rFonts w:ascii="Calibri" w:eastAsia="Calibri" w:hAnsi="Calibri" w:cs="Times New Roman"/>
        </w:rPr>
        <w:t>PY21-24 Local Plan</w:t>
      </w:r>
      <w:r w:rsidRPr="00956DDE">
        <w:rPr>
          <w:rFonts w:ascii="Calibri" w:eastAsia="Calibri" w:hAnsi="Calibri" w:cs="Times New Roman"/>
        </w:rPr>
        <w:t xml:space="preserve"> planning process</w:t>
      </w:r>
      <w:r w:rsidR="003C155C" w:rsidRPr="00BC3729">
        <w:rPr>
          <w:rFonts w:ascii="Calibri" w:eastAsia="Calibri" w:hAnsi="Calibri" w:cs="Times New Roman"/>
          <w:vertAlign w:val="superscript"/>
        </w:rPr>
        <w:t xml:space="preserve"> </w:t>
      </w:r>
      <w:r w:rsidRPr="00956DDE">
        <w:rPr>
          <w:rFonts w:ascii="Calibri" w:eastAsia="Calibri" w:hAnsi="Calibri" w:cs="Times New Roman"/>
        </w:rPr>
        <w:t xml:space="preserve">share an interest in pursuing innovative strategies to promote workforce engagement for </w:t>
      </w:r>
      <w:r w:rsidR="00BC3729">
        <w:rPr>
          <w:rFonts w:ascii="Calibri" w:eastAsia="Calibri" w:hAnsi="Calibri" w:cs="Times New Roman"/>
        </w:rPr>
        <w:t xml:space="preserve">priority populations, including BIPOC community members, </w:t>
      </w:r>
      <w:r w:rsidR="008873DA">
        <w:rPr>
          <w:rFonts w:ascii="Calibri" w:eastAsia="Calibri" w:hAnsi="Calibri" w:cs="Times New Roman"/>
        </w:rPr>
        <w:t>transitional aged youth</w:t>
      </w:r>
      <w:r w:rsidR="00BC3729">
        <w:rPr>
          <w:rFonts w:ascii="Calibri" w:eastAsia="Calibri" w:hAnsi="Calibri" w:cs="Times New Roman"/>
        </w:rPr>
        <w:t xml:space="preserve">, </w:t>
      </w:r>
      <w:r w:rsidR="00874744">
        <w:rPr>
          <w:rFonts w:ascii="Calibri" w:eastAsia="Calibri" w:hAnsi="Calibri" w:cs="Times New Roman"/>
        </w:rPr>
        <w:t xml:space="preserve">unhoused families and individuals, </w:t>
      </w:r>
      <w:r w:rsidR="00BC3729">
        <w:rPr>
          <w:rFonts w:ascii="Calibri" w:eastAsia="Calibri" w:hAnsi="Calibri" w:cs="Times New Roman"/>
        </w:rPr>
        <w:t xml:space="preserve">and </w:t>
      </w:r>
      <w:r w:rsidRPr="00956DDE">
        <w:rPr>
          <w:rFonts w:ascii="Calibri" w:eastAsia="Calibri" w:hAnsi="Calibri" w:cs="Times New Roman"/>
        </w:rPr>
        <w:t>justice-involved individuals</w:t>
      </w:r>
      <w:r w:rsidR="00BC3729">
        <w:rPr>
          <w:rFonts w:ascii="Calibri" w:eastAsia="Calibri" w:hAnsi="Calibri" w:cs="Times New Roman"/>
        </w:rPr>
        <w:t>.</w:t>
      </w:r>
      <w:r w:rsidRPr="00956DDE">
        <w:rPr>
          <w:rFonts w:ascii="Calibri" w:eastAsia="Calibri" w:hAnsi="Calibri" w:cs="Times New Roman"/>
        </w:rPr>
        <w:t xml:space="preserve"> </w:t>
      </w:r>
      <w:r w:rsidR="00F93097">
        <w:rPr>
          <w:rFonts w:ascii="Calibri" w:eastAsia="Calibri" w:hAnsi="Calibri" w:cs="Times New Roman"/>
        </w:rPr>
        <w:t xml:space="preserve">These priorities are reflected across the strategies and objectives described in the Local Plan content above. </w:t>
      </w:r>
    </w:p>
    <w:p w14:paraId="3072E16B" w14:textId="78D935A9" w:rsidR="00956DDE" w:rsidRDefault="00BC3729" w:rsidP="00F93097">
      <w:pPr>
        <w:tabs>
          <w:tab w:val="left" w:pos="270"/>
        </w:tabs>
        <w:spacing w:before="120"/>
        <w:jc w:val="both"/>
        <w:rPr>
          <w:rFonts w:ascii="Calibri" w:eastAsia="Calibri" w:hAnsi="Calibri" w:cs="Times New Roman"/>
        </w:rPr>
      </w:pPr>
      <w:r w:rsidRPr="00BC3729">
        <w:rPr>
          <w:rFonts w:ascii="Calibri" w:eastAsia="Calibri" w:hAnsi="Calibri" w:cs="Times New Roman"/>
        </w:rPr>
        <w:t>A variety of stakeholders were invited to participate in the Local Plan development process, including current MOU Local Partners as well as the broader community.</w:t>
      </w:r>
      <w:r>
        <w:rPr>
          <w:rFonts w:ascii="Calibri" w:eastAsia="Calibri" w:hAnsi="Calibri" w:cs="Times New Roman"/>
        </w:rPr>
        <w:t xml:space="preserve"> </w:t>
      </w:r>
      <w:r w:rsidR="0076211B">
        <w:rPr>
          <w:rFonts w:ascii="Calibri" w:eastAsia="Calibri" w:hAnsi="Calibri" w:cs="Times New Roman"/>
        </w:rPr>
        <w:t xml:space="preserve">The table below summarizes the outreach modalities </w:t>
      </w:r>
      <w:r w:rsidR="00F93097">
        <w:rPr>
          <w:rFonts w:ascii="Calibri" w:eastAsia="Calibri" w:hAnsi="Calibri" w:cs="Times New Roman"/>
        </w:rPr>
        <w:t>deployed</w:t>
      </w:r>
      <w:r w:rsidR="0076211B">
        <w:rPr>
          <w:rFonts w:ascii="Calibri" w:eastAsia="Calibri" w:hAnsi="Calibri" w:cs="Times New Roman"/>
        </w:rPr>
        <w:t xml:space="preserve"> </w:t>
      </w:r>
      <w:r w:rsidR="00F93097">
        <w:rPr>
          <w:rFonts w:ascii="Calibri" w:eastAsia="Calibri" w:hAnsi="Calibri" w:cs="Times New Roman"/>
        </w:rPr>
        <w:t xml:space="preserve">by the OWDB </w:t>
      </w:r>
      <w:r w:rsidR="0076211B">
        <w:rPr>
          <w:rFonts w:ascii="Calibri" w:eastAsia="Calibri" w:hAnsi="Calibri" w:cs="Times New Roman"/>
        </w:rPr>
        <w:t xml:space="preserve">throughout the </w:t>
      </w:r>
      <w:r w:rsidR="00F93097">
        <w:rPr>
          <w:rFonts w:ascii="Calibri" w:eastAsia="Calibri" w:hAnsi="Calibri" w:cs="Times New Roman"/>
        </w:rPr>
        <w:t xml:space="preserve">PY 21-24 Local Plan </w:t>
      </w:r>
      <w:r w:rsidR="0076211B">
        <w:rPr>
          <w:rFonts w:ascii="Calibri" w:eastAsia="Calibri" w:hAnsi="Calibri" w:cs="Times New Roman"/>
        </w:rPr>
        <w:t>planning process</w:t>
      </w:r>
      <w:r w:rsidR="00F93097">
        <w:rPr>
          <w:rFonts w:ascii="Calibri" w:eastAsia="Calibri" w:hAnsi="Calibri" w:cs="Times New Roman"/>
        </w:rPr>
        <w:t xml:space="preserve">. </w:t>
      </w:r>
      <w:r w:rsidR="00B952DE">
        <w:rPr>
          <w:b/>
          <w:i/>
        </w:rPr>
        <w:t>Note that due to the ongoing COVID-19 pandemic, the reach and visibility of outreach efforts were</w:t>
      </w:r>
      <w:r w:rsidR="00F743F9">
        <w:rPr>
          <w:b/>
          <w:i/>
        </w:rPr>
        <w:t xml:space="preserve"> significantly</w:t>
      </w:r>
      <w:r w:rsidR="00B952DE">
        <w:rPr>
          <w:b/>
          <w:i/>
        </w:rPr>
        <w:t xml:space="preserve"> limited.</w:t>
      </w:r>
    </w:p>
    <w:p w14:paraId="624D2BA2" w14:textId="458FDD83" w:rsidR="00105B18" w:rsidRDefault="00105B18" w:rsidP="00956DDE">
      <w:pPr>
        <w:tabs>
          <w:tab w:val="left" w:pos="270"/>
        </w:tabs>
        <w:jc w:val="both"/>
        <w:rPr>
          <w:rFonts w:ascii="Calibri" w:eastAsia="Calibri" w:hAnsi="Calibri" w:cs="Times New Roman"/>
          <w:sz w:val="22"/>
        </w:rPr>
      </w:pPr>
    </w:p>
    <w:tbl>
      <w:tblPr>
        <w:tblStyle w:val="GridTable4-Accent51"/>
        <w:tblpPr w:leftFromText="180" w:rightFromText="180" w:vertAnchor="text" w:tblpY="1"/>
        <w:tblW w:w="5000" w:type="pct"/>
        <w:tblLook w:val="04A0" w:firstRow="1" w:lastRow="0" w:firstColumn="1" w:lastColumn="0" w:noHBand="0" w:noVBand="1"/>
        <w:tblDescription w:val="Summary of stakeholder and community engagement. Includes mode of outreach, target of outreach, summary of attendance and comments"/>
      </w:tblPr>
      <w:tblGrid>
        <w:gridCol w:w="2337"/>
        <w:gridCol w:w="2337"/>
        <w:gridCol w:w="2338"/>
        <w:gridCol w:w="2338"/>
      </w:tblGrid>
      <w:tr w:rsidR="00105B18" w:rsidRPr="00FC0606" w14:paraId="1C6401BC" w14:textId="77777777" w:rsidTr="00D0491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50" w:type="pct"/>
          </w:tcPr>
          <w:p w14:paraId="7FBF5C54" w14:textId="77777777" w:rsidR="00105B18" w:rsidRPr="00FC0606" w:rsidRDefault="00105B18" w:rsidP="00C92439">
            <w:pPr>
              <w:jc w:val="center"/>
              <w:rPr>
                <w:b w:val="0"/>
                <w:sz w:val="24"/>
                <w:szCs w:val="24"/>
              </w:rPr>
            </w:pPr>
            <w:r w:rsidRPr="00FC0606">
              <w:rPr>
                <w:sz w:val="24"/>
                <w:szCs w:val="24"/>
              </w:rPr>
              <w:t>Mode of Outreach</w:t>
            </w:r>
          </w:p>
        </w:tc>
        <w:tc>
          <w:tcPr>
            <w:tcW w:w="1250" w:type="pct"/>
          </w:tcPr>
          <w:p w14:paraId="6B45F2C2" w14:textId="77777777" w:rsidR="00105B18" w:rsidRPr="00FC0606" w:rsidRDefault="00105B18" w:rsidP="00C92439">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C0606">
              <w:rPr>
                <w:sz w:val="24"/>
                <w:szCs w:val="24"/>
              </w:rPr>
              <w:t>Target of Outreach</w:t>
            </w:r>
          </w:p>
        </w:tc>
        <w:tc>
          <w:tcPr>
            <w:tcW w:w="1250" w:type="pct"/>
          </w:tcPr>
          <w:p w14:paraId="757EDA35" w14:textId="77777777" w:rsidR="00105B18" w:rsidRPr="00FC0606" w:rsidRDefault="00105B18" w:rsidP="00C92439">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C0606">
              <w:rPr>
                <w:sz w:val="24"/>
                <w:szCs w:val="24"/>
              </w:rPr>
              <w:t>Summary of Attendance</w:t>
            </w:r>
          </w:p>
        </w:tc>
        <w:tc>
          <w:tcPr>
            <w:tcW w:w="1250" w:type="pct"/>
          </w:tcPr>
          <w:p w14:paraId="1E862C73" w14:textId="77777777" w:rsidR="00105B18" w:rsidRPr="00FC0606" w:rsidRDefault="00105B18" w:rsidP="00C92439">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C0606">
              <w:rPr>
                <w:sz w:val="24"/>
                <w:szCs w:val="24"/>
              </w:rPr>
              <w:t>Comments</w:t>
            </w:r>
          </w:p>
        </w:tc>
      </w:tr>
      <w:tr w:rsidR="00105B18" w:rsidRPr="00FC0606" w14:paraId="45A4E41D" w14:textId="77777777" w:rsidTr="00D0491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50" w:type="pct"/>
          </w:tcPr>
          <w:p w14:paraId="5BC875D4" w14:textId="77777777" w:rsidR="00105B18" w:rsidRDefault="00CF1345" w:rsidP="00C92439">
            <w:pPr>
              <w:rPr>
                <w:bCs w:val="0"/>
                <w:sz w:val="24"/>
                <w:szCs w:val="24"/>
              </w:rPr>
            </w:pPr>
            <w:r w:rsidRPr="00FC0606">
              <w:rPr>
                <w:b w:val="0"/>
                <w:sz w:val="24"/>
                <w:szCs w:val="24"/>
              </w:rPr>
              <w:t>MOU Core Partners Meeting – Email Outreach</w:t>
            </w:r>
          </w:p>
          <w:p w14:paraId="7744FC11" w14:textId="77777777" w:rsidR="00B952DE" w:rsidRDefault="00B952DE" w:rsidP="00C92439">
            <w:pPr>
              <w:rPr>
                <w:bCs w:val="0"/>
                <w:sz w:val="24"/>
                <w:szCs w:val="24"/>
              </w:rPr>
            </w:pPr>
          </w:p>
          <w:p w14:paraId="43A3477D" w14:textId="2159282F" w:rsidR="00B952DE" w:rsidRPr="00B952DE" w:rsidRDefault="00B952DE" w:rsidP="00C92439">
            <w:pPr>
              <w:rPr>
                <w:b w:val="0"/>
                <w:i/>
                <w:sz w:val="24"/>
                <w:szCs w:val="24"/>
              </w:rPr>
            </w:pPr>
          </w:p>
        </w:tc>
        <w:tc>
          <w:tcPr>
            <w:tcW w:w="1250" w:type="pct"/>
          </w:tcPr>
          <w:p w14:paraId="69FA571B" w14:textId="3163D524" w:rsidR="00105B18" w:rsidRPr="00FC0606" w:rsidRDefault="00CF1345" w:rsidP="00C92439">
            <w:pPr>
              <w:cnfStyle w:val="000000100000" w:firstRow="0" w:lastRow="0" w:firstColumn="0" w:lastColumn="0" w:oddVBand="0" w:evenVBand="0" w:oddHBand="1" w:evenHBand="0" w:firstRowFirstColumn="0" w:firstRowLastColumn="0" w:lastRowFirstColumn="0" w:lastRowLastColumn="0"/>
              <w:rPr>
                <w:sz w:val="24"/>
                <w:szCs w:val="24"/>
              </w:rPr>
            </w:pPr>
            <w:r w:rsidRPr="00FC0606">
              <w:rPr>
                <w:sz w:val="24"/>
                <w:szCs w:val="24"/>
              </w:rPr>
              <w:t>OWDB Core Partners &amp; Oakland Workforce Collaborative Members</w:t>
            </w:r>
          </w:p>
        </w:tc>
        <w:tc>
          <w:tcPr>
            <w:tcW w:w="1250" w:type="pct"/>
          </w:tcPr>
          <w:p w14:paraId="10279E5A" w14:textId="77777777" w:rsidR="00105B18" w:rsidRPr="00FC0606" w:rsidRDefault="00CF1345" w:rsidP="00C92439">
            <w:pPr>
              <w:cnfStyle w:val="000000100000" w:firstRow="0" w:lastRow="0" w:firstColumn="0" w:lastColumn="0" w:oddVBand="0" w:evenVBand="0" w:oddHBand="1" w:evenHBand="0" w:firstRowFirstColumn="0" w:firstRowLastColumn="0" w:lastRowFirstColumn="0" w:lastRowLastColumn="0"/>
              <w:rPr>
                <w:sz w:val="24"/>
                <w:szCs w:val="24"/>
              </w:rPr>
            </w:pPr>
            <w:r w:rsidRPr="00FC0606">
              <w:rPr>
                <w:sz w:val="24"/>
                <w:szCs w:val="24"/>
              </w:rPr>
              <w:t>Representatives from the following agencies participated in the virtual meeting:</w:t>
            </w:r>
          </w:p>
          <w:p w14:paraId="43EC98B3" w14:textId="7FFBA8B0" w:rsidR="00CF1345" w:rsidRPr="00FC0606" w:rsidRDefault="004C619D" w:rsidP="00C92439">
            <w:pPr>
              <w:cnfStyle w:val="000000100000" w:firstRow="0" w:lastRow="0" w:firstColumn="0" w:lastColumn="0" w:oddVBand="0" w:evenVBand="0" w:oddHBand="1" w:evenHBand="0" w:firstRowFirstColumn="0" w:firstRowLastColumn="0" w:lastRowFirstColumn="0" w:lastRowLastColumn="0"/>
              <w:rPr>
                <w:sz w:val="24"/>
                <w:szCs w:val="24"/>
              </w:rPr>
            </w:pPr>
            <w:r w:rsidRPr="00FC0606">
              <w:rPr>
                <w:sz w:val="24"/>
                <w:szCs w:val="24"/>
              </w:rPr>
              <w:t>Department of Rehabilitation</w:t>
            </w:r>
            <w:r w:rsidR="00656E1D" w:rsidRPr="00FC0606">
              <w:rPr>
                <w:sz w:val="24"/>
                <w:szCs w:val="24"/>
              </w:rPr>
              <w:t xml:space="preserve"> Greater East Bay District</w:t>
            </w:r>
            <w:r w:rsidR="00CF1345" w:rsidRPr="00FC0606">
              <w:rPr>
                <w:sz w:val="24"/>
                <w:szCs w:val="24"/>
              </w:rPr>
              <w:t xml:space="preserve">, </w:t>
            </w:r>
            <w:r w:rsidR="00E377CE" w:rsidRPr="00FC0606">
              <w:rPr>
                <w:sz w:val="24"/>
                <w:szCs w:val="24"/>
              </w:rPr>
              <w:t xml:space="preserve">AC-OCAP, </w:t>
            </w:r>
            <w:r w:rsidR="00CF1345" w:rsidRPr="00FC0606">
              <w:rPr>
                <w:sz w:val="24"/>
                <w:szCs w:val="24"/>
              </w:rPr>
              <w:t>Alameda County Child</w:t>
            </w:r>
            <w:r w:rsidRPr="00FC0606">
              <w:rPr>
                <w:sz w:val="24"/>
                <w:szCs w:val="24"/>
              </w:rPr>
              <w:t xml:space="preserve"> Support Services</w:t>
            </w:r>
            <w:r w:rsidR="00CF1345" w:rsidRPr="00FC0606">
              <w:rPr>
                <w:sz w:val="24"/>
                <w:szCs w:val="24"/>
              </w:rPr>
              <w:t xml:space="preserve">, </w:t>
            </w:r>
            <w:r w:rsidRPr="00FC0606">
              <w:rPr>
                <w:sz w:val="24"/>
                <w:szCs w:val="24"/>
              </w:rPr>
              <w:t xml:space="preserve">Alameda </w:t>
            </w:r>
            <w:r w:rsidRPr="00FC0606">
              <w:rPr>
                <w:sz w:val="24"/>
                <w:szCs w:val="24"/>
              </w:rPr>
              <w:lastRenderedPageBreak/>
              <w:t xml:space="preserve">County CEO, Alameda County </w:t>
            </w:r>
            <w:r w:rsidR="009449DF" w:rsidRPr="00FC0606">
              <w:rPr>
                <w:sz w:val="24"/>
                <w:szCs w:val="24"/>
              </w:rPr>
              <w:t xml:space="preserve">Social Services, </w:t>
            </w:r>
            <w:r w:rsidR="00E377CE" w:rsidRPr="00FC0606">
              <w:rPr>
                <w:sz w:val="24"/>
                <w:szCs w:val="24"/>
              </w:rPr>
              <w:t xml:space="preserve">Oakland Housing Authority, </w:t>
            </w:r>
            <w:r w:rsidR="00CF1345" w:rsidRPr="00FC0606">
              <w:rPr>
                <w:sz w:val="24"/>
                <w:szCs w:val="24"/>
              </w:rPr>
              <w:t xml:space="preserve">OUSD, Peralta CCD, Vietnamese American Community Center of the East Bay, </w:t>
            </w:r>
            <w:r w:rsidRPr="00FC0606">
              <w:rPr>
                <w:sz w:val="24"/>
                <w:szCs w:val="24"/>
              </w:rPr>
              <w:t>Youth Employment Partnership</w:t>
            </w:r>
          </w:p>
        </w:tc>
        <w:tc>
          <w:tcPr>
            <w:tcW w:w="1250" w:type="pct"/>
          </w:tcPr>
          <w:p w14:paraId="66AAE876" w14:textId="05158BCE" w:rsidR="00105B18" w:rsidRPr="00FC0606" w:rsidRDefault="0022277D" w:rsidP="00C92439">
            <w:pPr>
              <w:cnfStyle w:val="000000100000" w:firstRow="0" w:lastRow="0" w:firstColumn="0" w:lastColumn="0" w:oddVBand="0" w:evenVBand="0" w:oddHBand="1" w:evenHBand="0" w:firstRowFirstColumn="0" w:firstRowLastColumn="0" w:lastRowFirstColumn="0" w:lastRowLastColumn="0"/>
              <w:rPr>
                <w:sz w:val="24"/>
                <w:szCs w:val="24"/>
              </w:rPr>
            </w:pPr>
            <w:r w:rsidRPr="00FC0606">
              <w:rPr>
                <w:sz w:val="24"/>
                <w:szCs w:val="24"/>
              </w:rPr>
              <w:lastRenderedPageBreak/>
              <w:t>Stakeholders engaged in planning conversation</w:t>
            </w:r>
            <w:r w:rsidR="00B63170">
              <w:rPr>
                <w:sz w:val="24"/>
                <w:szCs w:val="24"/>
              </w:rPr>
              <w:t>s</w:t>
            </w:r>
            <w:r w:rsidRPr="00FC0606">
              <w:rPr>
                <w:sz w:val="24"/>
                <w:szCs w:val="24"/>
              </w:rPr>
              <w:t xml:space="preserve"> to review PY17-20 WIOA Local Plan strategies and identify emergent priority areas for the PY21-24 WIOA Local Plan. </w:t>
            </w:r>
          </w:p>
        </w:tc>
      </w:tr>
      <w:tr w:rsidR="00105B18" w:rsidRPr="00FC0606" w14:paraId="6FB1C956" w14:textId="77777777" w:rsidTr="00D0491B">
        <w:trPr>
          <w:trHeight w:val="271"/>
        </w:trPr>
        <w:tc>
          <w:tcPr>
            <w:cnfStyle w:val="001000000000" w:firstRow="0" w:lastRow="0" w:firstColumn="1" w:lastColumn="0" w:oddVBand="0" w:evenVBand="0" w:oddHBand="0" w:evenHBand="0" w:firstRowFirstColumn="0" w:firstRowLastColumn="0" w:lastRowFirstColumn="0" w:lastRowLastColumn="0"/>
            <w:tcW w:w="1250" w:type="pct"/>
          </w:tcPr>
          <w:p w14:paraId="61CFFFEE" w14:textId="33496B0E" w:rsidR="00105B18" w:rsidRPr="00FC0606" w:rsidRDefault="00E35308" w:rsidP="00C92439">
            <w:pPr>
              <w:rPr>
                <w:b w:val="0"/>
                <w:sz w:val="24"/>
                <w:szCs w:val="24"/>
              </w:rPr>
            </w:pPr>
            <w:r w:rsidRPr="00FC0606">
              <w:rPr>
                <w:b w:val="0"/>
                <w:sz w:val="24"/>
                <w:szCs w:val="24"/>
              </w:rPr>
              <w:t>OWDB PY21-24 WIOA Local Plan Online Community Survey – Email/Flyers/Agency Outreach</w:t>
            </w:r>
          </w:p>
        </w:tc>
        <w:tc>
          <w:tcPr>
            <w:tcW w:w="1250" w:type="pct"/>
          </w:tcPr>
          <w:p w14:paraId="039A2DAC" w14:textId="70F5B6ED" w:rsidR="00105B18" w:rsidRPr="00FC0606" w:rsidRDefault="00E35308" w:rsidP="00C92439">
            <w:pPr>
              <w:cnfStyle w:val="000000000000" w:firstRow="0" w:lastRow="0" w:firstColumn="0" w:lastColumn="0" w:oddVBand="0" w:evenVBand="0" w:oddHBand="0" w:evenHBand="0" w:firstRowFirstColumn="0" w:firstRowLastColumn="0" w:lastRowFirstColumn="0" w:lastRowLastColumn="0"/>
              <w:rPr>
                <w:sz w:val="24"/>
                <w:szCs w:val="24"/>
              </w:rPr>
            </w:pPr>
            <w:r w:rsidRPr="00FC0606">
              <w:rPr>
                <w:sz w:val="24"/>
                <w:szCs w:val="24"/>
              </w:rPr>
              <w:t xml:space="preserve">Oakland residents, particularly English-speaking, Spanish-speaking, Chinese-speaking, and Vietnamese-speaking residents; </w:t>
            </w:r>
            <w:r w:rsidR="00497E89" w:rsidRPr="00FC0606">
              <w:rPr>
                <w:sz w:val="24"/>
                <w:szCs w:val="24"/>
              </w:rPr>
              <w:t xml:space="preserve">Oakland </w:t>
            </w:r>
            <w:r w:rsidR="000402E0">
              <w:rPr>
                <w:sz w:val="24"/>
                <w:szCs w:val="24"/>
              </w:rPr>
              <w:t>job seeker</w:t>
            </w:r>
            <w:r w:rsidR="00497E89" w:rsidRPr="00FC0606">
              <w:rPr>
                <w:sz w:val="24"/>
                <w:szCs w:val="24"/>
              </w:rPr>
              <w:t>s; Oakland employers</w:t>
            </w:r>
          </w:p>
        </w:tc>
        <w:tc>
          <w:tcPr>
            <w:tcW w:w="1250" w:type="pct"/>
          </w:tcPr>
          <w:p w14:paraId="4CD6DBA7" w14:textId="52E15567" w:rsidR="00105B18" w:rsidRPr="00FC0606" w:rsidRDefault="00E72BFA" w:rsidP="00C924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 total of 11 community members participated in the OWDB online survey. </w:t>
            </w:r>
          </w:p>
        </w:tc>
        <w:tc>
          <w:tcPr>
            <w:tcW w:w="1250" w:type="pct"/>
          </w:tcPr>
          <w:p w14:paraId="69B56A09" w14:textId="1D9AE079" w:rsidR="00105B18" w:rsidRPr="00FC0606" w:rsidRDefault="00B63170" w:rsidP="00C924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online community survey</w:t>
            </w:r>
            <w:r w:rsidR="00E35308" w:rsidRPr="00FC0606">
              <w:rPr>
                <w:sz w:val="24"/>
                <w:szCs w:val="24"/>
              </w:rPr>
              <w:t xml:space="preserve"> was translated </w:t>
            </w:r>
            <w:r>
              <w:rPr>
                <w:sz w:val="24"/>
                <w:szCs w:val="24"/>
              </w:rPr>
              <w:t xml:space="preserve">into </w:t>
            </w:r>
            <w:r w:rsidR="00E35308" w:rsidRPr="00FC0606">
              <w:rPr>
                <w:sz w:val="24"/>
                <w:szCs w:val="24"/>
              </w:rPr>
              <w:t>English, Spanish, Chinese, and Vietnamese</w:t>
            </w:r>
            <w:r>
              <w:rPr>
                <w:sz w:val="24"/>
                <w:szCs w:val="24"/>
              </w:rPr>
              <w:t>.</w:t>
            </w:r>
          </w:p>
        </w:tc>
      </w:tr>
      <w:tr w:rsidR="00105B18" w:rsidRPr="00FC0606" w14:paraId="56C3C0AA" w14:textId="77777777" w:rsidTr="00D0491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50" w:type="pct"/>
          </w:tcPr>
          <w:p w14:paraId="1285E1EE" w14:textId="213DFD1E" w:rsidR="00105B18" w:rsidRPr="006532AC" w:rsidRDefault="006532AC" w:rsidP="00C92439">
            <w:pPr>
              <w:rPr>
                <w:b w:val="0"/>
                <w:sz w:val="24"/>
                <w:szCs w:val="24"/>
              </w:rPr>
            </w:pPr>
            <w:r>
              <w:rPr>
                <w:b w:val="0"/>
                <w:sz w:val="24"/>
                <w:szCs w:val="24"/>
              </w:rPr>
              <w:t>Councilmembers and City staff interviews – email outreach</w:t>
            </w:r>
          </w:p>
        </w:tc>
        <w:tc>
          <w:tcPr>
            <w:tcW w:w="1250" w:type="pct"/>
          </w:tcPr>
          <w:p w14:paraId="35391A57" w14:textId="10DE6AAD" w:rsidR="00105B18" w:rsidRPr="00FC0606" w:rsidRDefault="005878DB" w:rsidP="00C9243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City Councilmembers and the City Administrator were asked to provide input. The OWDB wanted to </w:t>
            </w:r>
            <w:r w:rsidR="00B645B5">
              <w:rPr>
                <w:sz w:val="24"/>
                <w:szCs w:val="24"/>
              </w:rPr>
              <w:t xml:space="preserve">offer interviews as </w:t>
            </w:r>
            <w:r>
              <w:rPr>
                <w:sz w:val="24"/>
                <w:szCs w:val="24"/>
              </w:rPr>
              <w:t xml:space="preserve">an opportunity for the </w:t>
            </w:r>
            <w:r w:rsidR="00631F38">
              <w:rPr>
                <w:sz w:val="24"/>
                <w:szCs w:val="24"/>
              </w:rPr>
              <w:t>newly elected</w:t>
            </w:r>
            <w:r>
              <w:rPr>
                <w:sz w:val="24"/>
                <w:szCs w:val="24"/>
              </w:rPr>
              <w:t xml:space="preserve"> Councilmembers in particular to provide input.  </w:t>
            </w:r>
          </w:p>
        </w:tc>
        <w:tc>
          <w:tcPr>
            <w:tcW w:w="1250" w:type="pct"/>
          </w:tcPr>
          <w:p w14:paraId="6AB43BE4" w14:textId="3FC169DA" w:rsidR="00105B18" w:rsidRPr="00FC0606" w:rsidRDefault="001E68DC" w:rsidP="00C9243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Some </w:t>
            </w:r>
            <w:r w:rsidR="006532AC">
              <w:rPr>
                <w:sz w:val="24"/>
                <w:szCs w:val="24"/>
              </w:rPr>
              <w:t>Oakland City Councilmembers and the City Administrator completed an interview</w:t>
            </w:r>
            <w:r w:rsidR="0002600F">
              <w:rPr>
                <w:sz w:val="24"/>
                <w:szCs w:val="24"/>
              </w:rPr>
              <w:t>.</w:t>
            </w:r>
          </w:p>
        </w:tc>
        <w:tc>
          <w:tcPr>
            <w:tcW w:w="1250" w:type="pct"/>
          </w:tcPr>
          <w:p w14:paraId="1F6A9430" w14:textId="20744800" w:rsidR="00105B18" w:rsidRPr="00FC0606" w:rsidRDefault="006532AC" w:rsidP="00C9243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All Oakland City Councilmembers were </w:t>
            </w:r>
            <w:r w:rsidR="009730A8">
              <w:rPr>
                <w:sz w:val="24"/>
                <w:szCs w:val="24"/>
              </w:rPr>
              <w:t>invited</w:t>
            </w:r>
            <w:r w:rsidR="00A93033">
              <w:rPr>
                <w:sz w:val="24"/>
                <w:szCs w:val="24"/>
              </w:rPr>
              <w:t xml:space="preserve"> via email </w:t>
            </w:r>
            <w:r w:rsidR="009730A8">
              <w:rPr>
                <w:sz w:val="24"/>
                <w:szCs w:val="24"/>
              </w:rPr>
              <w:t>to participate in the phone interviews</w:t>
            </w:r>
            <w:r w:rsidR="004C296B">
              <w:rPr>
                <w:sz w:val="24"/>
                <w:szCs w:val="24"/>
              </w:rPr>
              <w:t>.</w:t>
            </w:r>
          </w:p>
        </w:tc>
      </w:tr>
      <w:tr w:rsidR="00105B18" w:rsidRPr="00FC0606" w14:paraId="403806FB" w14:textId="77777777" w:rsidTr="00D0491B">
        <w:trPr>
          <w:trHeight w:val="6663"/>
        </w:trPr>
        <w:tc>
          <w:tcPr>
            <w:cnfStyle w:val="001000000000" w:firstRow="0" w:lastRow="0" w:firstColumn="1" w:lastColumn="0" w:oddVBand="0" w:evenVBand="0" w:oddHBand="0" w:evenHBand="0" w:firstRowFirstColumn="0" w:firstRowLastColumn="0" w:lastRowFirstColumn="0" w:lastRowLastColumn="0"/>
            <w:tcW w:w="1250" w:type="pct"/>
          </w:tcPr>
          <w:p w14:paraId="2EC321AF" w14:textId="253D3E33" w:rsidR="00105B18" w:rsidRPr="00955D48" w:rsidRDefault="00BF0893" w:rsidP="00955D48">
            <w:pPr>
              <w:rPr>
                <w:b w:val="0"/>
                <w:sz w:val="24"/>
                <w:szCs w:val="24"/>
              </w:rPr>
            </w:pPr>
            <w:r>
              <w:rPr>
                <w:b w:val="0"/>
                <w:sz w:val="24"/>
                <w:szCs w:val="24"/>
              </w:rPr>
              <w:lastRenderedPageBreak/>
              <w:t xml:space="preserve">Public Community Meetings – </w:t>
            </w:r>
            <w:r w:rsidR="00955D48">
              <w:rPr>
                <w:b w:val="0"/>
                <w:sz w:val="24"/>
                <w:szCs w:val="24"/>
              </w:rPr>
              <w:t xml:space="preserve"> </w:t>
            </w:r>
            <w:r w:rsidRPr="00FC0606">
              <w:rPr>
                <w:b w:val="0"/>
                <w:sz w:val="24"/>
                <w:szCs w:val="24"/>
              </w:rPr>
              <w:t xml:space="preserve"> Email/Flyers/Agency Outreach</w:t>
            </w:r>
          </w:p>
        </w:tc>
        <w:tc>
          <w:tcPr>
            <w:tcW w:w="1250" w:type="pct"/>
          </w:tcPr>
          <w:p w14:paraId="0EF00DF2" w14:textId="0106AD2D" w:rsidR="00105B18" w:rsidRPr="00DE3408" w:rsidRDefault="007F360B" w:rsidP="00C92439">
            <w:pPr>
              <w:cnfStyle w:val="000000000000" w:firstRow="0" w:lastRow="0" w:firstColumn="0" w:lastColumn="0" w:oddVBand="0" w:evenVBand="0" w:oddHBand="0" w:evenHBand="0" w:firstRowFirstColumn="0" w:firstRowLastColumn="0" w:lastRowFirstColumn="0" w:lastRowLastColumn="0"/>
              <w:rPr>
                <w:sz w:val="24"/>
                <w:szCs w:val="24"/>
              </w:rPr>
            </w:pPr>
            <w:r w:rsidRPr="00DE3408">
              <w:rPr>
                <w:sz w:val="24"/>
                <w:szCs w:val="24"/>
              </w:rPr>
              <w:t>All Oakland community members</w:t>
            </w:r>
            <w:r w:rsidR="00B3398B" w:rsidRPr="00DE3408">
              <w:rPr>
                <w:sz w:val="24"/>
                <w:szCs w:val="24"/>
              </w:rPr>
              <w:t xml:space="preserve">, </w:t>
            </w:r>
            <w:r w:rsidR="00DF028B" w:rsidRPr="00DE3408">
              <w:rPr>
                <w:sz w:val="24"/>
                <w:szCs w:val="24"/>
              </w:rPr>
              <w:t xml:space="preserve">job seekers, and employers </w:t>
            </w:r>
          </w:p>
        </w:tc>
        <w:tc>
          <w:tcPr>
            <w:tcW w:w="1250" w:type="pct"/>
          </w:tcPr>
          <w:p w14:paraId="224260C0" w14:textId="77777777" w:rsidR="001E133B" w:rsidRPr="00DE3408" w:rsidRDefault="00611DB1" w:rsidP="00C92439">
            <w:pPr>
              <w:cnfStyle w:val="000000000000" w:firstRow="0" w:lastRow="0" w:firstColumn="0" w:lastColumn="0" w:oddVBand="0" w:evenVBand="0" w:oddHBand="0" w:evenHBand="0" w:firstRowFirstColumn="0" w:firstRowLastColumn="0" w:lastRowFirstColumn="0" w:lastRowLastColumn="0"/>
              <w:rPr>
                <w:sz w:val="24"/>
                <w:szCs w:val="24"/>
              </w:rPr>
            </w:pPr>
            <w:r w:rsidRPr="00DE3408">
              <w:rPr>
                <w:sz w:val="24"/>
                <w:szCs w:val="24"/>
              </w:rPr>
              <w:t xml:space="preserve">A total of </w:t>
            </w:r>
            <w:r w:rsidR="0002600F" w:rsidRPr="00DE3408">
              <w:rPr>
                <w:sz w:val="24"/>
                <w:szCs w:val="24"/>
              </w:rPr>
              <w:t xml:space="preserve">36 community members participated </w:t>
            </w:r>
            <w:r w:rsidR="006072D4" w:rsidRPr="00DE3408">
              <w:rPr>
                <w:sz w:val="24"/>
                <w:szCs w:val="24"/>
              </w:rPr>
              <w:t>across the two virtual public meetings.</w:t>
            </w:r>
          </w:p>
          <w:p w14:paraId="29D763B3" w14:textId="77777777" w:rsidR="001E133B" w:rsidRPr="00DE3408" w:rsidRDefault="001E133B" w:rsidP="00C92439">
            <w:pPr>
              <w:cnfStyle w:val="000000000000" w:firstRow="0" w:lastRow="0" w:firstColumn="0" w:lastColumn="0" w:oddVBand="0" w:evenVBand="0" w:oddHBand="0" w:evenHBand="0" w:firstRowFirstColumn="0" w:firstRowLastColumn="0" w:lastRowFirstColumn="0" w:lastRowLastColumn="0"/>
              <w:rPr>
                <w:sz w:val="24"/>
                <w:szCs w:val="24"/>
              </w:rPr>
            </w:pPr>
          </w:p>
          <w:p w14:paraId="46F5F83E" w14:textId="77777777" w:rsidR="00DE3408" w:rsidRPr="00DE3408" w:rsidRDefault="001E133B" w:rsidP="00C92439">
            <w:pPr>
              <w:cnfStyle w:val="000000000000" w:firstRow="0" w:lastRow="0" w:firstColumn="0" w:lastColumn="0" w:oddVBand="0" w:evenVBand="0" w:oddHBand="0" w:evenHBand="0" w:firstRowFirstColumn="0" w:firstRowLastColumn="0" w:lastRowFirstColumn="0" w:lastRowLastColumn="0"/>
              <w:rPr>
                <w:sz w:val="24"/>
                <w:szCs w:val="24"/>
              </w:rPr>
            </w:pPr>
            <w:r w:rsidRPr="00DE3408">
              <w:rPr>
                <w:sz w:val="24"/>
                <w:szCs w:val="24"/>
              </w:rPr>
              <w:t xml:space="preserve">Each community meeting included a demographic survey; a total of 20 participants across the two meetings submitted the demographic survey. </w:t>
            </w:r>
          </w:p>
          <w:p w14:paraId="13E91F9F" w14:textId="77777777" w:rsidR="00DE3408" w:rsidRPr="00DE3408" w:rsidRDefault="00DE3408" w:rsidP="00C92439">
            <w:pPr>
              <w:cnfStyle w:val="000000000000" w:firstRow="0" w:lastRow="0" w:firstColumn="0" w:lastColumn="0" w:oddVBand="0" w:evenVBand="0" w:oddHBand="0" w:evenHBand="0" w:firstRowFirstColumn="0" w:firstRowLastColumn="0" w:lastRowFirstColumn="0" w:lastRowLastColumn="0"/>
              <w:rPr>
                <w:sz w:val="24"/>
                <w:szCs w:val="24"/>
              </w:rPr>
            </w:pPr>
          </w:p>
          <w:p w14:paraId="2A53A873" w14:textId="5D81DFA4" w:rsidR="00105B18" w:rsidRPr="00DE3408" w:rsidRDefault="001E133B" w:rsidP="00C92439">
            <w:pPr>
              <w:cnfStyle w:val="000000000000" w:firstRow="0" w:lastRow="0" w:firstColumn="0" w:lastColumn="0" w:oddVBand="0" w:evenVBand="0" w:oddHBand="0" w:evenHBand="0" w:firstRowFirstColumn="0" w:firstRowLastColumn="0" w:lastRowFirstColumn="0" w:lastRowLastColumn="0"/>
              <w:rPr>
                <w:sz w:val="24"/>
                <w:szCs w:val="24"/>
              </w:rPr>
            </w:pPr>
            <w:r w:rsidRPr="00DE3408">
              <w:rPr>
                <w:sz w:val="24"/>
                <w:szCs w:val="24"/>
              </w:rPr>
              <w:t xml:space="preserve">The survey results are shown in </w:t>
            </w:r>
            <w:r w:rsidR="0075483B" w:rsidRPr="00DE3408">
              <w:fldChar w:fldCharType="begin"/>
            </w:r>
            <w:r w:rsidR="0075483B" w:rsidRPr="00DE3408">
              <w:rPr>
                <w:sz w:val="24"/>
                <w:szCs w:val="24"/>
              </w:rPr>
              <w:instrText xml:space="preserve"> REF _Ref66142538 \h  \* MERGEFORMAT </w:instrText>
            </w:r>
            <w:r w:rsidR="0075483B" w:rsidRPr="00DE3408">
              <w:fldChar w:fldCharType="separate"/>
            </w:r>
            <w:r w:rsidR="000F6D23" w:rsidRPr="000F6D23">
              <w:rPr>
                <w:sz w:val="24"/>
                <w:szCs w:val="24"/>
              </w:rPr>
              <w:t>Appendix B: Community Meeting Participant Demographic Summary</w:t>
            </w:r>
            <w:r w:rsidR="0075483B" w:rsidRPr="00DE3408">
              <w:fldChar w:fldCharType="end"/>
            </w:r>
            <w:r w:rsidR="0075483B" w:rsidRPr="00DE3408">
              <w:rPr>
                <w:sz w:val="24"/>
                <w:szCs w:val="24"/>
              </w:rPr>
              <w:t xml:space="preserve">. </w:t>
            </w:r>
          </w:p>
        </w:tc>
        <w:tc>
          <w:tcPr>
            <w:tcW w:w="1250" w:type="pct"/>
          </w:tcPr>
          <w:p w14:paraId="66720BB5" w14:textId="60BF081B" w:rsidR="00105B18" w:rsidRPr="00FC0606" w:rsidRDefault="001E133B" w:rsidP="00C9243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Both public community meetings were held via </w:t>
            </w:r>
            <w:r w:rsidR="00913087">
              <w:rPr>
                <w:sz w:val="24"/>
                <w:szCs w:val="24"/>
              </w:rPr>
              <w:t>Zoom and</w:t>
            </w:r>
            <w:r>
              <w:rPr>
                <w:sz w:val="24"/>
                <w:szCs w:val="24"/>
              </w:rPr>
              <w:t xml:space="preserve"> were held at different times and days to accommodate community members’ weekday schedules. </w:t>
            </w:r>
            <w:r w:rsidR="00611DB1">
              <w:rPr>
                <w:sz w:val="24"/>
                <w:szCs w:val="24"/>
              </w:rPr>
              <w:t xml:space="preserve"> </w:t>
            </w:r>
          </w:p>
        </w:tc>
      </w:tr>
    </w:tbl>
    <w:p w14:paraId="3B31C780" w14:textId="239D9082" w:rsidR="00105B18" w:rsidRDefault="00105B18" w:rsidP="00956DDE">
      <w:pPr>
        <w:tabs>
          <w:tab w:val="left" w:pos="270"/>
        </w:tabs>
        <w:jc w:val="both"/>
        <w:rPr>
          <w:rFonts w:ascii="Calibri" w:eastAsia="Calibri" w:hAnsi="Calibri" w:cs="Times New Roman"/>
          <w:sz w:val="22"/>
        </w:rPr>
      </w:pPr>
    </w:p>
    <w:p w14:paraId="157E4A76" w14:textId="73AA565D" w:rsidR="009D0346" w:rsidRDefault="009D0346">
      <w:pPr>
        <w:rPr>
          <w:rFonts w:ascii="Calibri" w:eastAsia="Calibri" w:hAnsi="Calibri" w:cs="Times New Roman"/>
          <w:sz w:val="22"/>
        </w:rPr>
      </w:pPr>
      <w:r>
        <w:rPr>
          <w:rFonts w:ascii="Calibri" w:eastAsia="Calibri" w:hAnsi="Calibri" w:cs="Times New Roman"/>
          <w:sz w:val="22"/>
        </w:rPr>
        <w:br w:type="page"/>
      </w:r>
    </w:p>
    <w:p w14:paraId="143E5790" w14:textId="77777777" w:rsidR="009D0346" w:rsidRDefault="009D0346" w:rsidP="009D0346">
      <w:pPr>
        <w:pStyle w:val="Heading1"/>
      </w:pPr>
      <w:bookmarkStart w:id="7" w:name="_Ref66142538"/>
      <w:r w:rsidRPr="00FD14C5">
        <w:lastRenderedPageBreak/>
        <w:t>Appendix B: Community Meeting Participant Demographic Summary</w:t>
      </w:r>
      <w:bookmarkEnd w:id="7"/>
    </w:p>
    <w:tbl>
      <w:tblPr>
        <w:tblStyle w:val="TableGrid1"/>
        <w:tblpPr w:leftFromText="180" w:rightFromText="180" w:vertAnchor="page" w:horzAnchor="margin" w:tblpY="2056"/>
        <w:tblW w:w="0" w:type="auto"/>
        <w:tblBorders>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FD61CE" w:rsidRPr="00CB7349" w14:paraId="23FA012D" w14:textId="77777777" w:rsidTr="00FD61CE">
        <w:tc>
          <w:tcPr>
            <w:tcW w:w="4675" w:type="dxa"/>
            <w:tcBorders>
              <w:top w:val="nil"/>
              <w:bottom w:val="double" w:sz="4" w:space="0" w:color="auto"/>
            </w:tcBorders>
            <w:vAlign w:val="center"/>
          </w:tcPr>
          <w:p w14:paraId="1C83BD33" w14:textId="77777777" w:rsidR="00FD61CE" w:rsidRPr="00CB7349" w:rsidRDefault="00FD61CE" w:rsidP="00FD61CE">
            <w:pPr>
              <w:spacing w:line="276" w:lineRule="auto"/>
              <w:jc w:val="center"/>
              <w:rPr>
                <w:rFonts w:eastAsiaTheme="minorEastAsia"/>
                <w:bCs/>
                <w:sz w:val="20"/>
                <w:szCs w:val="20"/>
              </w:rPr>
            </w:pPr>
            <w:r>
              <w:rPr>
                <w:rFonts w:eastAsiaTheme="minorEastAsia"/>
                <w:bCs/>
                <w:sz w:val="20"/>
                <w:szCs w:val="20"/>
              </w:rPr>
              <w:t>Community Meeting #1 (February 16, 2021)</w:t>
            </w:r>
          </w:p>
        </w:tc>
        <w:tc>
          <w:tcPr>
            <w:tcW w:w="4675" w:type="dxa"/>
            <w:tcBorders>
              <w:top w:val="nil"/>
              <w:bottom w:val="double" w:sz="4" w:space="0" w:color="auto"/>
            </w:tcBorders>
            <w:vAlign w:val="center"/>
          </w:tcPr>
          <w:p w14:paraId="04FE1F0E" w14:textId="77777777" w:rsidR="00FD61CE" w:rsidRPr="00CB7349" w:rsidRDefault="00FD61CE" w:rsidP="00FD61CE">
            <w:pPr>
              <w:spacing w:line="276" w:lineRule="auto"/>
              <w:jc w:val="center"/>
              <w:rPr>
                <w:rFonts w:eastAsiaTheme="minorEastAsia"/>
                <w:bCs/>
                <w:sz w:val="20"/>
                <w:szCs w:val="20"/>
              </w:rPr>
            </w:pPr>
            <w:r>
              <w:rPr>
                <w:rFonts w:eastAsiaTheme="minorEastAsia"/>
                <w:bCs/>
                <w:sz w:val="20"/>
                <w:szCs w:val="20"/>
              </w:rPr>
              <w:t>Community Meeting #2 (February 17, 2021)</w:t>
            </w:r>
          </w:p>
        </w:tc>
      </w:tr>
      <w:tr w:rsidR="00FD61CE" w:rsidRPr="00CB7349" w14:paraId="1C6432A9" w14:textId="77777777" w:rsidTr="00FD61CE">
        <w:tc>
          <w:tcPr>
            <w:tcW w:w="4675" w:type="dxa"/>
            <w:tcBorders>
              <w:top w:val="double" w:sz="4" w:space="0" w:color="auto"/>
            </w:tcBorders>
          </w:tcPr>
          <w:p w14:paraId="490BF1D1" w14:textId="77777777" w:rsidR="00FD61CE" w:rsidRPr="00200C95" w:rsidRDefault="00FD61CE" w:rsidP="00FD61CE">
            <w:pPr>
              <w:spacing w:line="276" w:lineRule="auto"/>
              <w:rPr>
                <w:rFonts w:eastAsiaTheme="minorEastAsia"/>
                <w:b/>
                <w:bCs/>
                <w:sz w:val="20"/>
                <w:szCs w:val="20"/>
              </w:rPr>
            </w:pPr>
            <w:r w:rsidRPr="00200C95">
              <w:rPr>
                <w:rFonts w:eastAsiaTheme="minorEastAsia"/>
                <w:b/>
                <w:bCs/>
                <w:sz w:val="20"/>
                <w:szCs w:val="20"/>
              </w:rPr>
              <w:t>Total participants: 22</w:t>
            </w:r>
          </w:p>
          <w:p w14:paraId="6A48A9ED" w14:textId="77777777" w:rsidR="00FD61CE" w:rsidRPr="00CB7349" w:rsidRDefault="00FD61CE" w:rsidP="00FD61CE">
            <w:pPr>
              <w:spacing w:line="276" w:lineRule="auto"/>
              <w:rPr>
                <w:rFonts w:eastAsiaTheme="minorEastAsia"/>
                <w:bCs/>
                <w:i/>
                <w:sz w:val="20"/>
                <w:szCs w:val="20"/>
              </w:rPr>
            </w:pPr>
          </w:p>
          <w:p w14:paraId="00ABE27C" w14:textId="77777777" w:rsidR="00FD61CE" w:rsidRPr="00CB7349" w:rsidRDefault="00FD61CE" w:rsidP="00FD61CE">
            <w:pPr>
              <w:spacing w:line="276" w:lineRule="auto"/>
              <w:rPr>
                <w:rFonts w:eastAsiaTheme="minorEastAsia"/>
                <w:bCs/>
                <w:i/>
                <w:sz w:val="20"/>
                <w:szCs w:val="20"/>
              </w:rPr>
            </w:pPr>
            <w:r w:rsidRPr="00CB7349">
              <w:rPr>
                <w:rFonts w:eastAsiaTheme="minorEastAsia"/>
                <w:bCs/>
                <w:i/>
                <w:sz w:val="20"/>
                <w:szCs w:val="20"/>
              </w:rPr>
              <w:t>Of the 10 participants that completed the survey:</w:t>
            </w:r>
          </w:p>
          <w:p w14:paraId="5D1C6C69" w14:textId="77777777" w:rsidR="00FD61CE" w:rsidRPr="00CB7349" w:rsidRDefault="00FD61CE" w:rsidP="00FD61CE">
            <w:pPr>
              <w:spacing w:line="276" w:lineRule="auto"/>
              <w:ind w:left="160"/>
              <w:rPr>
                <w:rFonts w:eastAsiaTheme="minorEastAsia"/>
                <w:bCs/>
                <w:sz w:val="20"/>
                <w:szCs w:val="20"/>
              </w:rPr>
            </w:pPr>
            <w:r w:rsidRPr="00CB7349">
              <w:rPr>
                <w:rFonts w:eastAsiaTheme="minorEastAsia"/>
                <w:bCs/>
                <w:sz w:val="20"/>
                <w:szCs w:val="20"/>
              </w:rPr>
              <w:t>Geography</w:t>
            </w:r>
          </w:p>
          <w:p w14:paraId="2677EF49"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9 zip codes were represented (residence):</w:t>
            </w:r>
          </w:p>
          <w:p w14:paraId="62237B1D"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94501</w:t>
            </w:r>
          </w:p>
          <w:p w14:paraId="0636FF33"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94546</w:t>
            </w:r>
          </w:p>
          <w:p w14:paraId="06E8FE14"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94547</w:t>
            </w:r>
          </w:p>
          <w:p w14:paraId="336801BC"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94552</w:t>
            </w:r>
          </w:p>
          <w:p w14:paraId="3817532D"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94577</w:t>
            </w:r>
          </w:p>
          <w:p w14:paraId="71DEC2EE"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94606 (2 people)</w:t>
            </w:r>
          </w:p>
          <w:p w14:paraId="09E91FA6"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94609</w:t>
            </w:r>
          </w:p>
          <w:p w14:paraId="4F6FC818"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94610</w:t>
            </w:r>
          </w:p>
          <w:p w14:paraId="0E5C21AE"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94618</w:t>
            </w:r>
          </w:p>
          <w:p w14:paraId="7F84C555"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6 zip codes were represented (employment):</w:t>
            </w:r>
          </w:p>
          <w:p w14:paraId="239345C4"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94577</w:t>
            </w:r>
          </w:p>
          <w:p w14:paraId="63E83BA7"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94606</w:t>
            </w:r>
          </w:p>
          <w:p w14:paraId="5F45727F"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94607</w:t>
            </w:r>
          </w:p>
          <w:p w14:paraId="06466382"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94610 (2 people)</w:t>
            </w:r>
          </w:p>
          <w:p w14:paraId="55641EE2"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94612 (3 people)</w:t>
            </w:r>
          </w:p>
          <w:p w14:paraId="7D01A7D4"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94621</w:t>
            </w:r>
          </w:p>
          <w:p w14:paraId="43906727" w14:textId="77777777" w:rsidR="00FD61CE" w:rsidRPr="00CB7349" w:rsidRDefault="00FD61CE" w:rsidP="00FD61CE">
            <w:pPr>
              <w:spacing w:line="276" w:lineRule="auto"/>
              <w:ind w:left="160"/>
              <w:rPr>
                <w:rFonts w:eastAsiaTheme="minorEastAsia"/>
                <w:bCs/>
                <w:sz w:val="20"/>
                <w:szCs w:val="20"/>
              </w:rPr>
            </w:pPr>
          </w:p>
          <w:p w14:paraId="15D215D1" w14:textId="77777777" w:rsidR="00FD61CE" w:rsidRPr="00CB7349" w:rsidRDefault="00FD61CE" w:rsidP="00FD61CE">
            <w:pPr>
              <w:spacing w:line="276" w:lineRule="auto"/>
              <w:ind w:left="160"/>
              <w:rPr>
                <w:rFonts w:eastAsiaTheme="minorEastAsia"/>
                <w:bCs/>
                <w:sz w:val="20"/>
                <w:szCs w:val="20"/>
              </w:rPr>
            </w:pPr>
            <w:r w:rsidRPr="00CB7349">
              <w:rPr>
                <w:rFonts w:eastAsiaTheme="minorEastAsia"/>
                <w:bCs/>
                <w:sz w:val="20"/>
                <w:szCs w:val="20"/>
              </w:rPr>
              <w:t>Race/Ethnicity</w:t>
            </w:r>
          </w:p>
          <w:p w14:paraId="379BB3D1"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The majority of participants identified as African-American/Black (4, 40%) or White (4, 40%)</w:t>
            </w:r>
          </w:p>
          <w:p w14:paraId="6B4E17F0"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1 participant identified as Asian or Asian American and White (10%)</w:t>
            </w:r>
          </w:p>
          <w:p w14:paraId="2DF9492D"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1 participant identified as Hispanic, Latinx, or Spanish origin (10%)</w:t>
            </w:r>
          </w:p>
          <w:p w14:paraId="4F7907E8" w14:textId="77777777" w:rsidR="00FD61CE" w:rsidRPr="00CB7349" w:rsidRDefault="00FD61CE" w:rsidP="00FD61CE">
            <w:pPr>
              <w:spacing w:line="276" w:lineRule="auto"/>
              <w:rPr>
                <w:rFonts w:eastAsiaTheme="minorEastAsia"/>
                <w:bCs/>
                <w:sz w:val="20"/>
                <w:szCs w:val="20"/>
              </w:rPr>
            </w:pPr>
          </w:p>
          <w:p w14:paraId="713130D6" w14:textId="77777777" w:rsidR="00FD61CE" w:rsidRPr="00CB7349" w:rsidRDefault="00FD61CE" w:rsidP="00FD61CE">
            <w:pPr>
              <w:spacing w:line="276" w:lineRule="auto"/>
              <w:ind w:left="160"/>
              <w:rPr>
                <w:rFonts w:eastAsiaTheme="minorEastAsia"/>
                <w:bCs/>
                <w:sz w:val="20"/>
                <w:szCs w:val="20"/>
              </w:rPr>
            </w:pPr>
            <w:r w:rsidRPr="00CB7349">
              <w:rPr>
                <w:rFonts w:eastAsiaTheme="minorEastAsia"/>
                <w:bCs/>
                <w:sz w:val="20"/>
                <w:szCs w:val="20"/>
              </w:rPr>
              <w:t>Gender</w:t>
            </w:r>
            <w:r>
              <w:rPr>
                <w:rFonts w:eastAsiaTheme="minorEastAsia"/>
                <w:bCs/>
                <w:sz w:val="20"/>
                <w:szCs w:val="20"/>
              </w:rPr>
              <w:t xml:space="preserve"> Identity</w:t>
            </w:r>
          </w:p>
          <w:p w14:paraId="072B6E9E" w14:textId="77777777" w:rsidR="00FD61CE" w:rsidRPr="00CB7349" w:rsidRDefault="00FD61CE" w:rsidP="00FD61CE">
            <w:pPr>
              <w:numPr>
                <w:ilvl w:val="0"/>
                <w:numId w:val="25"/>
              </w:numPr>
              <w:spacing w:before="200" w:line="276" w:lineRule="auto"/>
              <w:ind w:left="430" w:hanging="270"/>
              <w:contextualSpacing/>
              <w:rPr>
                <w:rFonts w:eastAsiaTheme="minorEastAsia"/>
                <w:bCs/>
                <w:sz w:val="20"/>
                <w:szCs w:val="20"/>
              </w:rPr>
            </w:pPr>
            <w:r>
              <w:rPr>
                <w:rFonts w:eastAsiaTheme="minorEastAsia"/>
                <w:bCs/>
                <w:sz w:val="20"/>
                <w:szCs w:val="20"/>
              </w:rPr>
              <w:t>Female</w:t>
            </w:r>
            <w:r w:rsidRPr="00CB7349">
              <w:rPr>
                <w:rFonts w:eastAsiaTheme="minorEastAsia"/>
                <w:bCs/>
                <w:sz w:val="20"/>
                <w:szCs w:val="20"/>
              </w:rPr>
              <w:t xml:space="preserve"> (6, 60%)</w:t>
            </w:r>
            <w:r>
              <w:rPr>
                <w:rFonts w:eastAsiaTheme="minorEastAsia"/>
                <w:bCs/>
                <w:sz w:val="20"/>
                <w:szCs w:val="20"/>
              </w:rPr>
              <w:t>; Male (4, 40%)</w:t>
            </w:r>
          </w:p>
          <w:p w14:paraId="283F5407" w14:textId="77777777" w:rsidR="00FD61CE" w:rsidRPr="00CB7349" w:rsidRDefault="00FD61CE" w:rsidP="00FD61CE">
            <w:pPr>
              <w:spacing w:line="276" w:lineRule="auto"/>
              <w:rPr>
                <w:rFonts w:eastAsiaTheme="minorEastAsia"/>
                <w:bCs/>
                <w:sz w:val="20"/>
                <w:szCs w:val="20"/>
              </w:rPr>
            </w:pPr>
          </w:p>
          <w:p w14:paraId="208765F7" w14:textId="77777777" w:rsidR="00FD61CE" w:rsidRPr="00CB7349" w:rsidRDefault="00FD61CE" w:rsidP="00FD61CE">
            <w:pPr>
              <w:spacing w:line="276" w:lineRule="auto"/>
              <w:ind w:left="430" w:hanging="270"/>
              <w:rPr>
                <w:rFonts w:eastAsiaTheme="minorEastAsia"/>
                <w:bCs/>
                <w:sz w:val="20"/>
                <w:szCs w:val="20"/>
              </w:rPr>
            </w:pPr>
            <w:r w:rsidRPr="00CB7349">
              <w:rPr>
                <w:rFonts w:eastAsiaTheme="minorEastAsia"/>
                <w:bCs/>
                <w:sz w:val="20"/>
                <w:szCs w:val="20"/>
              </w:rPr>
              <w:t>Age</w:t>
            </w:r>
          </w:p>
          <w:p w14:paraId="055F6AE8"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40% (4) of participants were 55-64 years old</w:t>
            </w:r>
          </w:p>
          <w:p w14:paraId="38950645"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40% (4) of participants were 45-54 years old</w:t>
            </w:r>
          </w:p>
          <w:p w14:paraId="481E638D"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20% (2) of participants were 25-34 years old</w:t>
            </w:r>
          </w:p>
          <w:p w14:paraId="50DDF3EF" w14:textId="77777777" w:rsidR="00FD61CE" w:rsidRPr="00CB7349" w:rsidRDefault="00FD61CE" w:rsidP="00FD61CE">
            <w:pPr>
              <w:spacing w:line="276" w:lineRule="auto"/>
              <w:rPr>
                <w:rFonts w:eastAsiaTheme="minorEastAsia"/>
                <w:bCs/>
                <w:sz w:val="20"/>
                <w:szCs w:val="20"/>
              </w:rPr>
            </w:pPr>
          </w:p>
          <w:p w14:paraId="6DE3FE40" w14:textId="77777777" w:rsidR="00FD61CE" w:rsidRPr="00CB7349" w:rsidRDefault="00FD61CE" w:rsidP="00FD61CE">
            <w:pPr>
              <w:spacing w:line="276" w:lineRule="auto"/>
              <w:rPr>
                <w:rFonts w:eastAsiaTheme="minorEastAsia"/>
                <w:bCs/>
                <w:sz w:val="20"/>
                <w:szCs w:val="20"/>
              </w:rPr>
            </w:pPr>
          </w:p>
          <w:p w14:paraId="5E9DC2B4" w14:textId="77777777" w:rsidR="00FD61CE" w:rsidRPr="00CB7349" w:rsidRDefault="00FD61CE" w:rsidP="00FD61CE">
            <w:pPr>
              <w:spacing w:line="276" w:lineRule="auto"/>
              <w:rPr>
                <w:rFonts w:eastAsiaTheme="minorEastAsia"/>
                <w:bCs/>
                <w:sz w:val="20"/>
                <w:szCs w:val="20"/>
              </w:rPr>
            </w:pPr>
          </w:p>
        </w:tc>
        <w:tc>
          <w:tcPr>
            <w:tcW w:w="4675" w:type="dxa"/>
            <w:tcBorders>
              <w:top w:val="double" w:sz="4" w:space="0" w:color="auto"/>
            </w:tcBorders>
          </w:tcPr>
          <w:p w14:paraId="65434B21" w14:textId="77777777" w:rsidR="00FD61CE" w:rsidRPr="00200C95" w:rsidRDefault="00FD61CE" w:rsidP="00FD61CE">
            <w:pPr>
              <w:spacing w:before="200" w:line="276" w:lineRule="auto"/>
              <w:contextualSpacing/>
              <w:rPr>
                <w:rFonts w:eastAsiaTheme="minorEastAsia"/>
                <w:b/>
                <w:bCs/>
                <w:sz w:val="20"/>
                <w:szCs w:val="20"/>
              </w:rPr>
            </w:pPr>
            <w:r w:rsidRPr="00200C95">
              <w:rPr>
                <w:rFonts w:eastAsiaTheme="minorEastAsia"/>
                <w:b/>
                <w:bCs/>
                <w:sz w:val="20"/>
                <w:szCs w:val="20"/>
              </w:rPr>
              <w:t>Total participants: 14</w:t>
            </w:r>
          </w:p>
          <w:p w14:paraId="61A625BA" w14:textId="77777777" w:rsidR="00FD61CE" w:rsidRPr="00CB7349" w:rsidRDefault="00FD61CE" w:rsidP="00FD61CE">
            <w:pPr>
              <w:spacing w:line="276" w:lineRule="auto"/>
              <w:rPr>
                <w:rFonts w:eastAsiaTheme="minorEastAsia"/>
                <w:bCs/>
                <w:i/>
                <w:sz w:val="20"/>
                <w:szCs w:val="20"/>
              </w:rPr>
            </w:pPr>
          </w:p>
          <w:p w14:paraId="3E022A43" w14:textId="77777777" w:rsidR="00FD61CE" w:rsidRPr="00CB7349" w:rsidRDefault="00FD61CE" w:rsidP="00FD61CE">
            <w:pPr>
              <w:spacing w:line="276" w:lineRule="auto"/>
              <w:rPr>
                <w:rFonts w:eastAsiaTheme="minorEastAsia"/>
                <w:bCs/>
                <w:i/>
                <w:sz w:val="20"/>
                <w:szCs w:val="20"/>
              </w:rPr>
            </w:pPr>
            <w:r w:rsidRPr="00CB7349">
              <w:rPr>
                <w:rFonts w:eastAsiaTheme="minorEastAsia"/>
                <w:bCs/>
                <w:i/>
                <w:sz w:val="20"/>
                <w:szCs w:val="20"/>
              </w:rPr>
              <w:t>Of the 10 participants that completed the survey:</w:t>
            </w:r>
          </w:p>
          <w:p w14:paraId="741C1012" w14:textId="77777777" w:rsidR="00FD61CE" w:rsidRPr="00CB7349" w:rsidRDefault="00FD61CE" w:rsidP="00FD61CE">
            <w:pPr>
              <w:spacing w:line="276" w:lineRule="auto"/>
              <w:ind w:left="160"/>
              <w:rPr>
                <w:rFonts w:eastAsiaTheme="minorEastAsia"/>
                <w:bCs/>
                <w:sz w:val="20"/>
                <w:szCs w:val="20"/>
              </w:rPr>
            </w:pPr>
            <w:r w:rsidRPr="00CB7349">
              <w:rPr>
                <w:rFonts w:eastAsiaTheme="minorEastAsia"/>
                <w:bCs/>
                <w:sz w:val="20"/>
                <w:szCs w:val="20"/>
              </w:rPr>
              <w:t>Geography</w:t>
            </w:r>
          </w:p>
          <w:p w14:paraId="73A18A88"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9 zip codes were represented (residence):</w:t>
            </w:r>
          </w:p>
          <w:p w14:paraId="174C7753"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94110</w:t>
            </w:r>
          </w:p>
          <w:p w14:paraId="6B8A5EA0"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94501</w:t>
            </w:r>
          </w:p>
          <w:p w14:paraId="365D1829"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94601</w:t>
            </w:r>
          </w:p>
          <w:p w14:paraId="2C74B66F"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94607</w:t>
            </w:r>
          </w:p>
          <w:p w14:paraId="14879C7D"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94608 (2 people)</w:t>
            </w:r>
          </w:p>
          <w:p w14:paraId="318B2AEC"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94611</w:t>
            </w:r>
          </w:p>
          <w:p w14:paraId="42FA6C76"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94618</w:t>
            </w:r>
          </w:p>
          <w:p w14:paraId="1C1FC4B5"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94709</w:t>
            </w:r>
          </w:p>
          <w:p w14:paraId="09CA256E"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94901</w:t>
            </w:r>
          </w:p>
          <w:p w14:paraId="2B0A9FFD"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7 zip codes were represented (employment):</w:t>
            </w:r>
          </w:p>
          <w:p w14:paraId="51A87B22"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94577</w:t>
            </w:r>
          </w:p>
          <w:p w14:paraId="4788B978"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94601</w:t>
            </w:r>
          </w:p>
          <w:p w14:paraId="633FFC92"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94606</w:t>
            </w:r>
          </w:p>
          <w:p w14:paraId="28C94DEC"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94607 (2 people)</w:t>
            </w:r>
          </w:p>
          <w:p w14:paraId="4DBF2B41"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94608</w:t>
            </w:r>
          </w:p>
          <w:p w14:paraId="39EB3242"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94610 (2 people)</w:t>
            </w:r>
          </w:p>
          <w:p w14:paraId="0EF3D90F" w14:textId="77777777" w:rsidR="00FD61CE" w:rsidRPr="00CB7349" w:rsidRDefault="00FD61CE" w:rsidP="00FD61CE">
            <w:pPr>
              <w:numPr>
                <w:ilvl w:val="1"/>
                <w:numId w:val="24"/>
              </w:numPr>
              <w:spacing w:before="200" w:line="276" w:lineRule="auto"/>
              <w:contextualSpacing/>
              <w:rPr>
                <w:rFonts w:eastAsiaTheme="minorEastAsia"/>
                <w:bCs/>
                <w:sz w:val="20"/>
                <w:szCs w:val="20"/>
              </w:rPr>
            </w:pPr>
            <w:r w:rsidRPr="00CB7349">
              <w:rPr>
                <w:rFonts w:eastAsiaTheme="minorEastAsia"/>
                <w:bCs/>
                <w:sz w:val="20"/>
                <w:szCs w:val="20"/>
              </w:rPr>
              <w:t>94612 (2 people)</w:t>
            </w:r>
          </w:p>
          <w:p w14:paraId="3BDAC813" w14:textId="77777777" w:rsidR="00FD61CE" w:rsidRPr="00CB7349" w:rsidRDefault="00FD61CE" w:rsidP="00FD61CE">
            <w:pPr>
              <w:spacing w:line="276" w:lineRule="auto"/>
              <w:ind w:left="160"/>
              <w:rPr>
                <w:rFonts w:eastAsiaTheme="minorEastAsia"/>
                <w:bCs/>
                <w:sz w:val="20"/>
                <w:szCs w:val="20"/>
              </w:rPr>
            </w:pPr>
          </w:p>
          <w:p w14:paraId="533A6083" w14:textId="77777777" w:rsidR="00FD61CE" w:rsidRPr="00CB7349" w:rsidRDefault="00FD61CE" w:rsidP="00FD61CE">
            <w:pPr>
              <w:spacing w:line="276" w:lineRule="auto"/>
              <w:ind w:left="160"/>
              <w:rPr>
                <w:rFonts w:eastAsiaTheme="minorEastAsia"/>
                <w:bCs/>
                <w:sz w:val="20"/>
                <w:szCs w:val="20"/>
              </w:rPr>
            </w:pPr>
            <w:r w:rsidRPr="00CB7349">
              <w:rPr>
                <w:rFonts w:eastAsiaTheme="minorEastAsia"/>
                <w:bCs/>
                <w:sz w:val="20"/>
                <w:szCs w:val="20"/>
              </w:rPr>
              <w:t>Race/Ethnicity</w:t>
            </w:r>
          </w:p>
          <w:p w14:paraId="019552BE"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The majority of participants identified as White (5, 50%)</w:t>
            </w:r>
          </w:p>
          <w:p w14:paraId="5893EBA2"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2 participants identified as Hispanic, Latinx, or Spanish origin (20%)</w:t>
            </w:r>
          </w:p>
          <w:p w14:paraId="3DC390ED" w14:textId="77777777" w:rsidR="00FD61CE" w:rsidRPr="00CB7349" w:rsidRDefault="00FD61CE" w:rsidP="00FD61CE">
            <w:pPr>
              <w:numPr>
                <w:ilvl w:val="0"/>
                <w:numId w:val="24"/>
              </w:numPr>
              <w:spacing w:before="200" w:line="276" w:lineRule="auto"/>
              <w:ind w:left="430" w:hanging="270"/>
              <w:contextualSpacing/>
              <w:rPr>
                <w:rFonts w:eastAsiaTheme="minorEastAsia"/>
                <w:bCs/>
                <w:sz w:val="20"/>
                <w:szCs w:val="20"/>
              </w:rPr>
            </w:pPr>
            <w:r w:rsidRPr="00CB7349">
              <w:rPr>
                <w:rFonts w:eastAsiaTheme="minorEastAsia"/>
                <w:bCs/>
                <w:sz w:val="20"/>
                <w:szCs w:val="20"/>
              </w:rPr>
              <w:t>1 participant identified as Asian or Asian American and White (10%)</w:t>
            </w:r>
          </w:p>
          <w:p w14:paraId="129BA8B2" w14:textId="77777777" w:rsidR="00FD61CE" w:rsidRPr="00CB7349" w:rsidRDefault="00FD61CE" w:rsidP="00FD61CE">
            <w:pPr>
              <w:spacing w:line="276" w:lineRule="auto"/>
              <w:ind w:left="160"/>
              <w:rPr>
                <w:rFonts w:eastAsiaTheme="minorEastAsia"/>
                <w:bCs/>
                <w:sz w:val="20"/>
                <w:szCs w:val="20"/>
              </w:rPr>
            </w:pPr>
          </w:p>
          <w:p w14:paraId="78A36AE9" w14:textId="77777777" w:rsidR="00FD61CE" w:rsidRPr="00CB7349" w:rsidRDefault="00FD61CE" w:rsidP="00FD61CE">
            <w:pPr>
              <w:spacing w:line="276" w:lineRule="auto"/>
              <w:ind w:left="160"/>
              <w:rPr>
                <w:rFonts w:eastAsiaTheme="minorEastAsia"/>
                <w:bCs/>
                <w:sz w:val="20"/>
                <w:szCs w:val="20"/>
              </w:rPr>
            </w:pPr>
            <w:r w:rsidRPr="00CB7349">
              <w:rPr>
                <w:rFonts w:eastAsiaTheme="minorEastAsia"/>
                <w:bCs/>
                <w:sz w:val="20"/>
                <w:szCs w:val="20"/>
              </w:rPr>
              <w:t>Gender</w:t>
            </w:r>
            <w:r>
              <w:rPr>
                <w:rFonts w:eastAsiaTheme="minorEastAsia"/>
                <w:bCs/>
                <w:sz w:val="20"/>
                <w:szCs w:val="20"/>
              </w:rPr>
              <w:t xml:space="preserve"> Identity</w:t>
            </w:r>
          </w:p>
          <w:p w14:paraId="304959F7" w14:textId="77777777" w:rsidR="00FD61CE" w:rsidRPr="00CB7349" w:rsidRDefault="00FD61CE" w:rsidP="00FD61CE">
            <w:pPr>
              <w:numPr>
                <w:ilvl w:val="0"/>
                <w:numId w:val="25"/>
              </w:numPr>
              <w:spacing w:before="200" w:line="276" w:lineRule="auto"/>
              <w:ind w:left="430" w:hanging="270"/>
              <w:contextualSpacing/>
              <w:rPr>
                <w:rFonts w:eastAsiaTheme="minorEastAsia"/>
                <w:bCs/>
                <w:sz w:val="20"/>
                <w:szCs w:val="20"/>
              </w:rPr>
            </w:pPr>
            <w:r>
              <w:rPr>
                <w:rFonts w:eastAsiaTheme="minorEastAsia"/>
                <w:bCs/>
                <w:sz w:val="20"/>
                <w:szCs w:val="20"/>
              </w:rPr>
              <w:t>Female</w:t>
            </w:r>
            <w:r w:rsidRPr="00CB7349">
              <w:rPr>
                <w:rFonts w:eastAsiaTheme="minorEastAsia"/>
                <w:bCs/>
                <w:sz w:val="20"/>
                <w:szCs w:val="20"/>
              </w:rPr>
              <w:t xml:space="preserve"> (6, 6</w:t>
            </w:r>
            <w:r>
              <w:rPr>
                <w:rFonts w:eastAsiaTheme="minorEastAsia"/>
                <w:bCs/>
                <w:sz w:val="20"/>
                <w:szCs w:val="20"/>
              </w:rPr>
              <w:t>6</w:t>
            </w:r>
            <w:r w:rsidRPr="00CB7349">
              <w:rPr>
                <w:rFonts w:eastAsiaTheme="minorEastAsia"/>
                <w:bCs/>
                <w:sz w:val="20"/>
                <w:szCs w:val="20"/>
              </w:rPr>
              <w:t>%)</w:t>
            </w:r>
            <w:r>
              <w:rPr>
                <w:rFonts w:eastAsiaTheme="minorEastAsia"/>
                <w:bCs/>
                <w:sz w:val="20"/>
                <w:szCs w:val="20"/>
              </w:rPr>
              <w:t>; Male (3, 33%)</w:t>
            </w:r>
          </w:p>
          <w:p w14:paraId="090D332C" w14:textId="77777777" w:rsidR="00FD61CE" w:rsidRPr="00CB7349" w:rsidRDefault="00FD61CE" w:rsidP="00FD61CE">
            <w:pPr>
              <w:spacing w:line="276" w:lineRule="auto"/>
              <w:ind w:left="430" w:hanging="270"/>
              <w:rPr>
                <w:rFonts w:eastAsiaTheme="minorEastAsia"/>
                <w:bCs/>
                <w:sz w:val="20"/>
                <w:szCs w:val="20"/>
              </w:rPr>
            </w:pPr>
          </w:p>
          <w:p w14:paraId="5A70DBAD" w14:textId="77777777" w:rsidR="00FD61CE" w:rsidRPr="00CB7349" w:rsidRDefault="00FD61CE" w:rsidP="00FD61CE">
            <w:pPr>
              <w:spacing w:line="276" w:lineRule="auto"/>
              <w:ind w:left="430" w:hanging="270"/>
              <w:rPr>
                <w:rFonts w:eastAsiaTheme="minorEastAsia"/>
                <w:bCs/>
                <w:sz w:val="20"/>
                <w:szCs w:val="20"/>
              </w:rPr>
            </w:pPr>
            <w:r w:rsidRPr="00CB7349">
              <w:rPr>
                <w:rFonts w:eastAsiaTheme="minorEastAsia"/>
                <w:bCs/>
                <w:sz w:val="20"/>
                <w:szCs w:val="20"/>
              </w:rPr>
              <w:t>Age</w:t>
            </w:r>
          </w:p>
          <w:p w14:paraId="36A85AA2"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45% (4) of participants were 25-34 years old</w:t>
            </w:r>
          </w:p>
          <w:p w14:paraId="73A9CA12"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33% (3) of participants were 35-44 years old</w:t>
            </w:r>
          </w:p>
          <w:p w14:paraId="53BA10D8"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11% (1) of participants was 55-64 years old</w:t>
            </w:r>
          </w:p>
          <w:p w14:paraId="2425157F" w14:textId="77777777" w:rsidR="00FD61CE" w:rsidRPr="00CB7349" w:rsidRDefault="00FD61CE" w:rsidP="00FD61CE">
            <w:pPr>
              <w:numPr>
                <w:ilvl w:val="0"/>
                <w:numId w:val="26"/>
              </w:numPr>
              <w:spacing w:before="200" w:line="276" w:lineRule="auto"/>
              <w:ind w:left="430" w:hanging="270"/>
              <w:contextualSpacing/>
              <w:rPr>
                <w:rFonts w:eastAsiaTheme="minorEastAsia"/>
                <w:bCs/>
                <w:sz w:val="20"/>
                <w:szCs w:val="20"/>
              </w:rPr>
            </w:pPr>
            <w:r w:rsidRPr="00CB7349">
              <w:rPr>
                <w:rFonts w:eastAsiaTheme="minorEastAsia"/>
                <w:bCs/>
                <w:sz w:val="20"/>
                <w:szCs w:val="20"/>
              </w:rPr>
              <w:t>11% (1) of participants were 18-24 years old</w:t>
            </w:r>
          </w:p>
          <w:p w14:paraId="3DB6799C" w14:textId="77777777" w:rsidR="00FD61CE" w:rsidRPr="00CB7349" w:rsidRDefault="00FD61CE" w:rsidP="00FD61CE">
            <w:pPr>
              <w:spacing w:line="276" w:lineRule="auto"/>
              <w:rPr>
                <w:rFonts w:eastAsiaTheme="minorEastAsia"/>
                <w:bCs/>
                <w:sz w:val="20"/>
                <w:szCs w:val="20"/>
              </w:rPr>
            </w:pPr>
          </w:p>
        </w:tc>
      </w:tr>
    </w:tbl>
    <w:p w14:paraId="7CE5EC36" w14:textId="0A5361DE" w:rsidR="00E97B48" w:rsidRDefault="00E97B48" w:rsidP="00E97B48">
      <w:pPr>
        <w:pStyle w:val="Heading1"/>
      </w:pPr>
      <w:bookmarkStart w:id="8" w:name="_Outreach_Tracking"/>
      <w:bookmarkEnd w:id="8"/>
      <w:r w:rsidRPr="00FD14C5">
        <w:lastRenderedPageBreak/>
        <w:t xml:space="preserve">Appendix </w:t>
      </w:r>
      <w:r>
        <w:t>C</w:t>
      </w:r>
      <w:r w:rsidRPr="00FD14C5">
        <w:t xml:space="preserve">: </w:t>
      </w:r>
      <w:r>
        <w:t xml:space="preserve">Summary of Public Comment </w:t>
      </w:r>
      <w:r w:rsidR="009905E3">
        <w:t>Disagreeing with Local Plan</w:t>
      </w:r>
    </w:p>
    <w:p w14:paraId="3BDE265D" w14:textId="547297C6" w:rsidR="009905E3" w:rsidRDefault="009905E3" w:rsidP="009905E3"/>
    <w:p w14:paraId="4B35668A" w14:textId="185FE89D" w:rsidR="009905E3" w:rsidRDefault="009905E3" w:rsidP="009905E3">
      <w:r w:rsidRPr="009905E3">
        <w:t>Local Boards must provide a 30-day opportunity for public comment prior to submitting the Regional and Local Plans. Any comments that express disagreement with the Regional or Local Plans must be included in the final submission.</w:t>
      </w:r>
      <w:r w:rsidR="005F13A3">
        <w:t xml:space="preserve"> </w:t>
      </w:r>
    </w:p>
    <w:p w14:paraId="326B83A3" w14:textId="61A5CB52" w:rsidR="005F13A3" w:rsidRDefault="005F13A3" w:rsidP="009905E3"/>
    <w:p w14:paraId="3075F117" w14:textId="5E479FC4" w:rsidR="005F13A3" w:rsidRPr="009905E3" w:rsidRDefault="005F13A3" w:rsidP="009905E3">
      <w:r>
        <w:t>The OWDB will hold a 30-day public comment period commencing on March 1</w:t>
      </w:r>
      <w:r w:rsidR="0033273B">
        <w:t>9</w:t>
      </w:r>
      <w:r>
        <w:t xml:space="preserve">, 2021. </w:t>
      </w:r>
    </w:p>
    <w:p w14:paraId="7D9E58B0" w14:textId="77777777" w:rsidR="009905E3" w:rsidRPr="009905E3" w:rsidRDefault="009905E3" w:rsidP="009905E3"/>
    <w:p w14:paraId="30224473" w14:textId="77777777" w:rsidR="00E97B48" w:rsidRPr="00E97B48" w:rsidRDefault="00E97B48" w:rsidP="00E97B48"/>
    <w:sectPr w:rsidR="00E97B48" w:rsidRPr="00E97B48" w:rsidSect="00EB20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91F2F" w14:textId="77777777" w:rsidR="00C25926" w:rsidRDefault="00C25926" w:rsidP="00956DDE">
      <w:r>
        <w:separator/>
      </w:r>
    </w:p>
  </w:endnote>
  <w:endnote w:type="continuationSeparator" w:id="0">
    <w:p w14:paraId="65E8B39C" w14:textId="77777777" w:rsidR="00C25926" w:rsidRDefault="00C25926" w:rsidP="0095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A49E" w14:textId="77777777" w:rsidR="00C25926" w:rsidRDefault="00C25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8DA5" w14:textId="284CAEFC" w:rsidR="00C25926" w:rsidRPr="009A71FA" w:rsidRDefault="00C25926" w:rsidP="00E708F4">
    <w:pPr>
      <w:pStyle w:val="Footer"/>
      <w:jc w:val="right"/>
    </w:pPr>
    <w:r>
      <w:tab/>
    </w:r>
    <w:r>
      <w:tab/>
    </w:r>
    <w:r>
      <w:tab/>
      <w:t xml:space="preserve">March 2021 | </w:t>
    </w:r>
    <w:r>
      <w:fldChar w:fldCharType="begin"/>
    </w:r>
    <w:r>
      <w:instrText xml:space="preserve"> PAGE   \* MERGEFORMAT </w:instrText>
    </w:r>
    <w:r>
      <w:fldChar w:fldCharType="separate"/>
    </w:r>
    <w:r>
      <w:rPr>
        <w:noProof/>
      </w:rPr>
      <w:t>46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83BE2" w14:textId="77777777" w:rsidR="00C25926" w:rsidRDefault="00C25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45D67" w14:textId="77777777" w:rsidR="00C25926" w:rsidRDefault="00C25926" w:rsidP="00956DDE">
      <w:r>
        <w:separator/>
      </w:r>
    </w:p>
  </w:footnote>
  <w:footnote w:type="continuationSeparator" w:id="0">
    <w:p w14:paraId="4C31BE4D" w14:textId="77777777" w:rsidR="00C25926" w:rsidRDefault="00C25926" w:rsidP="00956DDE">
      <w:r>
        <w:continuationSeparator/>
      </w:r>
    </w:p>
  </w:footnote>
  <w:footnote w:id="1">
    <w:p w14:paraId="34F16606" w14:textId="77777777" w:rsidR="00C25926" w:rsidRDefault="00C25926" w:rsidP="009A68B2">
      <w:pPr>
        <w:pStyle w:val="FootnoteText"/>
      </w:pPr>
      <w:r>
        <w:rPr>
          <w:rStyle w:val="FootnoteReference"/>
        </w:rPr>
        <w:footnoteRef/>
      </w:r>
      <w:r>
        <w:t xml:space="preserve"> Many NACAE offerings include ESL bridge programs – Business/Accounting, Culinary Arts, ECE,</w:t>
      </w:r>
    </w:p>
    <w:p w14:paraId="40464BC2" w14:textId="5B527F48" w:rsidR="00C25926" w:rsidRDefault="00C25926" w:rsidP="009A68B2">
      <w:pPr>
        <w:pStyle w:val="FootnoteText"/>
      </w:pPr>
      <w:r>
        <w:t>Entrepreneurship, Maritime/Logistics, and Media.</w:t>
      </w:r>
    </w:p>
  </w:footnote>
  <w:footnote w:id="2">
    <w:p w14:paraId="1A251A51" w14:textId="2D0B0059" w:rsidR="00C25926" w:rsidRDefault="00C25926">
      <w:pPr>
        <w:pStyle w:val="FootnoteText"/>
      </w:pPr>
      <w:r>
        <w:rPr>
          <w:rStyle w:val="FootnoteReference"/>
        </w:rPr>
        <w:footnoteRef/>
      </w:r>
      <w:r>
        <w:t xml:space="preserve"> </w:t>
      </w:r>
      <w:r w:rsidRPr="009A68B2">
        <w:t>Includes both Certificate and Associate of Arts/Sciences Degrees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A7EF" w14:textId="77777777" w:rsidR="00C25926" w:rsidRDefault="00C2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DA4BD" w14:textId="0BF113E7" w:rsidR="00C25926" w:rsidRDefault="00C25926" w:rsidP="00EB20B0">
    <w:pPr>
      <w:pStyle w:val="Header"/>
      <w:pBdr>
        <w:bottom w:val="single" w:sz="2" w:space="1" w:color="auto"/>
      </w:pBdr>
      <w:spacing w:after="240"/>
      <w:ind w:left="360"/>
      <w:jc w:val="left"/>
    </w:pPr>
    <w:r>
      <w:rPr>
        <w:b/>
        <w:noProof/>
      </w:rPr>
      <w:drawing>
        <wp:anchor distT="0" distB="0" distL="114300" distR="114300" simplePos="0" relativeHeight="251662336" behindDoc="1" locked="0" layoutInCell="1" allowOverlap="1" wp14:anchorId="032DF570" wp14:editId="2E772888">
          <wp:simplePos x="0" y="0"/>
          <wp:positionH relativeFrom="column">
            <wp:posOffset>-244534</wp:posOffset>
          </wp:positionH>
          <wp:positionV relativeFrom="paragraph">
            <wp:posOffset>-361315</wp:posOffset>
          </wp:positionV>
          <wp:extent cx="660508" cy="861473"/>
          <wp:effectExtent l="0" t="0" r="0" b="2540"/>
          <wp:wrapTight wrapText="bothSides">
            <wp:wrapPolygon edited="0">
              <wp:start x="0" y="0"/>
              <wp:lineTo x="0" y="21345"/>
              <wp:lineTo x="21185" y="21345"/>
              <wp:lineTo x="21185" y="0"/>
              <wp:lineTo x="0" y="0"/>
            </wp:wrapPolygon>
          </wp:wrapTight>
          <wp:docPr id="12" name="Picture 12" descr="/var/folders/hh/5j2s1l953db6_kkjm2l32gph0000gn/T/com.microsoft.Word/Content.MSO/FB3B27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h/5j2s1l953db6_kkjm2l32gph0000gn/T/com.microsoft.Word/Content.MSO/FB3B277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508" cy="861473"/>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Oakland Workforce Development Board</w:t>
    </w:r>
    <w:r>
      <w:rPr>
        <w:b/>
      </w:rPr>
      <w:br/>
    </w:r>
    <w:r>
      <w:rPr>
        <w:i/>
      </w:rPr>
      <w:t>2021-2024 Local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2200" w14:textId="77777777" w:rsidR="00C25926" w:rsidRDefault="00C25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6830"/>
    <w:multiLevelType w:val="hybridMultilevel"/>
    <w:tmpl w:val="86E8E2FA"/>
    <w:lvl w:ilvl="0" w:tplc="04090001">
      <w:start w:val="1"/>
      <w:numFmt w:val="bullet"/>
      <w:lvlText w:val=""/>
      <w:lvlJc w:val="left"/>
      <w:pPr>
        <w:ind w:left="5490" w:hanging="360"/>
      </w:pPr>
      <w:rPr>
        <w:rFonts w:ascii="Symbol" w:hAnsi="Symbol"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 w15:restartNumberingAfterBreak="0">
    <w:nsid w:val="0D0E064E"/>
    <w:multiLevelType w:val="hybridMultilevel"/>
    <w:tmpl w:val="8A7C3064"/>
    <w:lvl w:ilvl="0" w:tplc="EF0AF97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96C95"/>
    <w:multiLevelType w:val="hybridMultilevel"/>
    <w:tmpl w:val="52C48442"/>
    <w:lvl w:ilvl="0" w:tplc="9EE66D30">
      <w:start w:val="6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104A0"/>
    <w:multiLevelType w:val="hybridMultilevel"/>
    <w:tmpl w:val="EADEE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30A76"/>
    <w:multiLevelType w:val="hybridMultilevel"/>
    <w:tmpl w:val="26BC79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76E7E"/>
    <w:multiLevelType w:val="hybridMultilevel"/>
    <w:tmpl w:val="663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D542E"/>
    <w:multiLevelType w:val="hybridMultilevel"/>
    <w:tmpl w:val="7E46B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FB7207"/>
    <w:multiLevelType w:val="hybridMultilevel"/>
    <w:tmpl w:val="8A48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61A30"/>
    <w:multiLevelType w:val="hybridMultilevel"/>
    <w:tmpl w:val="BA84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1182"/>
    <w:multiLevelType w:val="hybridMultilevel"/>
    <w:tmpl w:val="A484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44F76"/>
    <w:multiLevelType w:val="hybridMultilevel"/>
    <w:tmpl w:val="472E3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40A3F"/>
    <w:multiLevelType w:val="multilevel"/>
    <w:tmpl w:val="92BE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A1FAE"/>
    <w:multiLevelType w:val="hybridMultilevel"/>
    <w:tmpl w:val="120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321C1"/>
    <w:multiLevelType w:val="hybridMultilevel"/>
    <w:tmpl w:val="23502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93334"/>
    <w:multiLevelType w:val="hybridMultilevel"/>
    <w:tmpl w:val="161C8BA6"/>
    <w:lvl w:ilvl="0" w:tplc="9EE66D30">
      <w:start w:val="6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2FB7"/>
    <w:multiLevelType w:val="hybridMultilevel"/>
    <w:tmpl w:val="50DEC9B4"/>
    <w:lvl w:ilvl="0" w:tplc="C33692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8D0751"/>
    <w:multiLevelType w:val="hybridMultilevel"/>
    <w:tmpl w:val="9E04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7E70"/>
    <w:multiLevelType w:val="multilevel"/>
    <w:tmpl w:val="A948C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076976"/>
    <w:multiLevelType w:val="hybridMultilevel"/>
    <w:tmpl w:val="55EA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F309C"/>
    <w:multiLevelType w:val="hybridMultilevel"/>
    <w:tmpl w:val="037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05438"/>
    <w:multiLevelType w:val="hybridMultilevel"/>
    <w:tmpl w:val="47AC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17C06"/>
    <w:multiLevelType w:val="hybridMultilevel"/>
    <w:tmpl w:val="92A4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23685"/>
    <w:multiLevelType w:val="multilevel"/>
    <w:tmpl w:val="9672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346C67"/>
    <w:multiLevelType w:val="hybridMultilevel"/>
    <w:tmpl w:val="F15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0191B"/>
    <w:multiLevelType w:val="hybridMultilevel"/>
    <w:tmpl w:val="3700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C4146"/>
    <w:multiLevelType w:val="hybridMultilevel"/>
    <w:tmpl w:val="53BA57F4"/>
    <w:lvl w:ilvl="0" w:tplc="B71EA458">
      <w:start w:val="1"/>
      <w:numFmt w:val="bullet"/>
      <w:lvlText w:val=""/>
      <w:lvlJc w:val="left"/>
      <w:pPr>
        <w:ind w:left="360" w:hanging="360"/>
      </w:pPr>
      <w:rPr>
        <w:rFonts w:ascii="Symbol" w:hAnsi="Symbol" w:hint="default"/>
        <w:sz w:val="16"/>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C2CEE"/>
    <w:multiLevelType w:val="hybridMultilevel"/>
    <w:tmpl w:val="A5D2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B0B6C"/>
    <w:multiLevelType w:val="hybridMultilevel"/>
    <w:tmpl w:val="BBEE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37D42"/>
    <w:multiLevelType w:val="hybridMultilevel"/>
    <w:tmpl w:val="54BE52DE"/>
    <w:lvl w:ilvl="0" w:tplc="04090001">
      <w:start w:val="1"/>
      <w:numFmt w:val="bullet"/>
      <w:lvlText w:val=""/>
      <w:lvlJc w:val="left"/>
      <w:pPr>
        <w:ind w:left="720" w:hanging="360"/>
      </w:pPr>
      <w:rPr>
        <w:rFonts w:ascii="Symbol" w:hAnsi="Symbol" w:hint="default"/>
      </w:rPr>
    </w:lvl>
    <w:lvl w:ilvl="1" w:tplc="08BA25E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844C1"/>
    <w:multiLevelType w:val="hybridMultilevel"/>
    <w:tmpl w:val="04406E44"/>
    <w:lvl w:ilvl="0" w:tplc="35A8E9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F1E88"/>
    <w:multiLevelType w:val="hybridMultilevel"/>
    <w:tmpl w:val="33709FF2"/>
    <w:lvl w:ilvl="0" w:tplc="7324CC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2B21B4"/>
    <w:multiLevelType w:val="hybridMultilevel"/>
    <w:tmpl w:val="AE76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746D4"/>
    <w:multiLevelType w:val="multilevel"/>
    <w:tmpl w:val="F21E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005CA"/>
    <w:multiLevelType w:val="hybridMultilevel"/>
    <w:tmpl w:val="24C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4411D"/>
    <w:multiLevelType w:val="hybridMultilevel"/>
    <w:tmpl w:val="C92E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2258C"/>
    <w:multiLevelType w:val="hybridMultilevel"/>
    <w:tmpl w:val="61F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43185"/>
    <w:multiLevelType w:val="hybridMultilevel"/>
    <w:tmpl w:val="F358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52B32"/>
    <w:multiLevelType w:val="hybridMultilevel"/>
    <w:tmpl w:val="CD08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76DC7"/>
    <w:multiLevelType w:val="hybridMultilevel"/>
    <w:tmpl w:val="9582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F5E38"/>
    <w:multiLevelType w:val="hybridMultilevel"/>
    <w:tmpl w:val="8422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402AB"/>
    <w:multiLevelType w:val="hybridMultilevel"/>
    <w:tmpl w:val="F0CC56F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7DE478C8"/>
    <w:multiLevelType w:val="hybridMultilevel"/>
    <w:tmpl w:val="A7028B3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33"/>
  </w:num>
  <w:num w:numId="2">
    <w:abstractNumId w:val="18"/>
  </w:num>
  <w:num w:numId="3">
    <w:abstractNumId w:val="25"/>
  </w:num>
  <w:num w:numId="4">
    <w:abstractNumId w:val="15"/>
  </w:num>
  <w:num w:numId="5">
    <w:abstractNumId w:val="29"/>
  </w:num>
  <w:num w:numId="6">
    <w:abstractNumId w:val="1"/>
  </w:num>
  <w:num w:numId="7">
    <w:abstractNumId w:val="30"/>
  </w:num>
  <w:num w:numId="8">
    <w:abstractNumId w:val="35"/>
  </w:num>
  <w:num w:numId="9">
    <w:abstractNumId w:val="10"/>
  </w:num>
  <w:num w:numId="10">
    <w:abstractNumId w:val="0"/>
  </w:num>
  <w:num w:numId="11">
    <w:abstractNumId w:val="19"/>
  </w:num>
  <w:num w:numId="12">
    <w:abstractNumId w:val="36"/>
  </w:num>
  <w:num w:numId="13">
    <w:abstractNumId w:val="5"/>
  </w:num>
  <w:num w:numId="14">
    <w:abstractNumId w:val="4"/>
  </w:num>
  <w:num w:numId="15">
    <w:abstractNumId w:val="17"/>
  </w:num>
  <w:num w:numId="16">
    <w:abstractNumId w:val="27"/>
  </w:num>
  <w:num w:numId="17">
    <w:abstractNumId w:val="6"/>
  </w:num>
  <w:num w:numId="18">
    <w:abstractNumId w:val="28"/>
  </w:num>
  <w:num w:numId="19">
    <w:abstractNumId w:val="34"/>
  </w:num>
  <w:num w:numId="20">
    <w:abstractNumId w:val="23"/>
  </w:num>
  <w:num w:numId="21">
    <w:abstractNumId w:val="26"/>
  </w:num>
  <w:num w:numId="22">
    <w:abstractNumId w:val="24"/>
  </w:num>
  <w:num w:numId="23">
    <w:abstractNumId w:val="11"/>
  </w:num>
  <w:num w:numId="24">
    <w:abstractNumId w:val="7"/>
  </w:num>
  <w:num w:numId="25">
    <w:abstractNumId w:val="41"/>
  </w:num>
  <w:num w:numId="26">
    <w:abstractNumId w:val="40"/>
  </w:num>
  <w:num w:numId="27">
    <w:abstractNumId w:val="22"/>
  </w:num>
  <w:num w:numId="28">
    <w:abstractNumId w:val="32"/>
  </w:num>
  <w:num w:numId="29">
    <w:abstractNumId w:val="8"/>
  </w:num>
  <w:num w:numId="30">
    <w:abstractNumId w:val="20"/>
  </w:num>
  <w:num w:numId="31">
    <w:abstractNumId w:val="16"/>
  </w:num>
  <w:num w:numId="32">
    <w:abstractNumId w:val="9"/>
  </w:num>
  <w:num w:numId="33">
    <w:abstractNumId w:val="12"/>
  </w:num>
  <w:num w:numId="34">
    <w:abstractNumId w:val="37"/>
  </w:num>
  <w:num w:numId="35">
    <w:abstractNumId w:val="38"/>
  </w:num>
  <w:num w:numId="36">
    <w:abstractNumId w:val="39"/>
  </w:num>
  <w:num w:numId="37">
    <w:abstractNumId w:val="3"/>
  </w:num>
  <w:num w:numId="38">
    <w:abstractNumId w:val="2"/>
  </w:num>
  <w:num w:numId="39">
    <w:abstractNumId w:val="14"/>
  </w:num>
  <w:num w:numId="40">
    <w:abstractNumId w:val="21"/>
  </w:num>
  <w:num w:numId="41">
    <w:abstractNumId w:val="3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DE"/>
    <w:rsid w:val="000035BD"/>
    <w:rsid w:val="00006722"/>
    <w:rsid w:val="0001368A"/>
    <w:rsid w:val="00013FDC"/>
    <w:rsid w:val="00016072"/>
    <w:rsid w:val="00023BE0"/>
    <w:rsid w:val="0002600F"/>
    <w:rsid w:val="000309A5"/>
    <w:rsid w:val="00030B70"/>
    <w:rsid w:val="00030FF5"/>
    <w:rsid w:val="0003378A"/>
    <w:rsid w:val="00034443"/>
    <w:rsid w:val="00036D73"/>
    <w:rsid w:val="000402E0"/>
    <w:rsid w:val="0004055D"/>
    <w:rsid w:val="000417D7"/>
    <w:rsid w:val="00041AA6"/>
    <w:rsid w:val="00050A3F"/>
    <w:rsid w:val="00053301"/>
    <w:rsid w:val="00054ED5"/>
    <w:rsid w:val="0005632C"/>
    <w:rsid w:val="00057745"/>
    <w:rsid w:val="00063B50"/>
    <w:rsid w:val="0006400E"/>
    <w:rsid w:val="0007059B"/>
    <w:rsid w:val="000711DD"/>
    <w:rsid w:val="0007667B"/>
    <w:rsid w:val="00077E6C"/>
    <w:rsid w:val="0008004A"/>
    <w:rsid w:val="00080D7E"/>
    <w:rsid w:val="00080DF8"/>
    <w:rsid w:val="0008331D"/>
    <w:rsid w:val="00087DDB"/>
    <w:rsid w:val="00092CB2"/>
    <w:rsid w:val="00095267"/>
    <w:rsid w:val="000958D9"/>
    <w:rsid w:val="0009618E"/>
    <w:rsid w:val="00097B88"/>
    <w:rsid w:val="000A25E2"/>
    <w:rsid w:val="000A39BF"/>
    <w:rsid w:val="000A4F90"/>
    <w:rsid w:val="000B0410"/>
    <w:rsid w:val="000B79CD"/>
    <w:rsid w:val="000C4627"/>
    <w:rsid w:val="000C57BD"/>
    <w:rsid w:val="000E13A0"/>
    <w:rsid w:val="000E15CD"/>
    <w:rsid w:val="000E161E"/>
    <w:rsid w:val="000E6012"/>
    <w:rsid w:val="000F6D23"/>
    <w:rsid w:val="000F7E67"/>
    <w:rsid w:val="00102D59"/>
    <w:rsid w:val="001045D2"/>
    <w:rsid w:val="00105B18"/>
    <w:rsid w:val="00106538"/>
    <w:rsid w:val="00113079"/>
    <w:rsid w:val="00114A93"/>
    <w:rsid w:val="00115A79"/>
    <w:rsid w:val="00126226"/>
    <w:rsid w:val="00126CD8"/>
    <w:rsid w:val="001271D8"/>
    <w:rsid w:val="00132A66"/>
    <w:rsid w:val="00137A00"/>
    <w:rsid w:val="00153697"/>
    <w:rsid w:val="00163D83"/>
    <w:rsid w:val="00164D0E"/>
    <w:rsid w:val="0017438D"/>
    <w:rsid w:val="001974BA"/>
    <w:rsid w:val="001A11B2"/>
    <w:rsid w:val="001A407B"/>
    <w:rsid w:val="001B0855"/>
    <w:rsid w:val="001B26D0"/>
    <w:rsid w:val="001B2A7D"/>
    <w:rsid w:val="001B47F3"/>
    <w:rsid w:val="001C2367"/>
    <w:rsid w:val="001C35E6"/>
    <w:rsid w:val="001C3C2A"/>
    <w:rsid w:val="001C40C9"/>
    <w:rsid w:val="001C42CC"/>
    <w:rsid w:val="001C58B9"/>
    <w:rsid w:val="001C753D"/>
    <w:rsid w:val="001D2A46"/>
    <w:rsid w:val="001E0FE9"/>
    <w:rsid w:val="001E133B"/>
    <w:rsid w:val="001E1A89"/>
    <w:rsid w:val="001E353E"/>
    <w:rsid w:val="001E4D0B"/>
    <w:rsid w:val="001E68DC"/>
    <w:rsid w:val="001E694B"/>
    <w:rsid w:val="001F1AB8"/>
    <w:rsid w:val="001F1B49"/>
    <w:rsid w:val="001F4D07"/>
    <w:rsid w:val="00200C95"/>
    <w:rsid w:val="002012DE"/>
    <w:rsid w:val="00202CD6"/>
    <w:rsid w:val="00204A54"/>
    <w:rsid w:val="00206BED"/>
    <w:rsid w:val="00217236"/>
    <w:rsid w:val="0021767C"/>
    <w:rsid w:val="00220510"/>
    <w:rsid w:val="002215E5"/>
    <w:rsid w:val="0022277D"/>
    <w:rsid w:val="0022336F"/>
    <w:rsid w:val="002236F0"/>
    <w:rsid w:val="002257B7"/>
    <w:rsid w:val="00236325"/>
    <w:rsid w:val="00236DD5"/>
    <w:rsid w:val="00236F1D"/>
    <w:rsid w:val="002377BD"/>
    <w:rsid w:val="0024322A"/>
    <w:rsid w:val="00243B65"/>
    <w:rsid w:val="00243B78"/>
    <w:rsid w:val="00243C6C"/>
    <w:rsid w:val="00247C6D"/>
    <w:rsid w:val="00252031"/>
    <w:rsid w:val="00261567"/>
    <w:rsid w:val="00263228"/>
    <w:rsid w:val="00263849"/>
    <w:rsid w:val="00267852"/>
    <w:rsid w:val="00267853"/>
    <w:rsid w:val="00282836"/>
    <w:rsid w:val="0028344A"/>
    <w:rsid w:val="00283C7F"/>
    <w:rsid w:val="00286E3A"/>
    <w:rsid w:val="00295A47"/>
    <w:rsid w:val="00297F62"/>
    <w:rsid w:val="002A7959"/>
    <w:rsid w:val="002B077E"/>
    <w:rsid w:val="002B1D3D"/>
    <w:rsid w:val="002B34BD"/>
    <w:rsid w:val="002D28D6"/>
    <w:rsid w:val="002D62B1"/>
    <w:rsid w:val="002E3B8F"/>
    <w:rsid w:val="002E5784"/>
    <w:rsid w:val="002E5AA4"/>
    <w:rsid w:val="002F00DE"/>
    <w:rsid w:val="002F07D6"/>
    <w:rsid w:val="002F20EC"/>
    <w:rsid w:val="002F7020"/>
    <w:rsid w:val="00311E1C"/>
    <w:rsid w:val="0031257B"/>
    <w:rsid w:val="003137AF"/>
    <w:rsid w:val="00314125"/>
    <w:rsid w:val="00314C26"/>
    <w:rsid w:val="00316B98"/>
    <w:rsid w:val="00317063"/>
    <w:rsid w:val="00317E78"/>
    <w:rsid w:val="00320C4A"/>
    <w:rsid w:val="00325570"/>
    <w:rsid w:val="0032561D"/>
    <w:rsid w:val="003259C5"/>
    <w:rsid w:val="0033273B"/>
    <w:rsid w:val="00333456"/>
    <w:rsid w:val="003337D3"/>
    <w:rsid w:val="003345A4"/>
    <w:rsid w:val="00335E83"/>
    <w:rsid w:val="00336E87"/>
    <w:rsid w:val="00337D4B"/>
    <w:rsid w:val="00351A9D"/>
    <w:rsid w:val="00352E13"/>
    <w:rsid w:val="00355470"/>
    <w:rsid w:val="0035785C"/>
    <w:rsid w:val="00366198"/>
    <w:rsid w:val="003662B8"/>
    <w:rsid w:val="00370D05"/>
    <w:rsid w:val="00382294"/>
    <w:rsid w:val="00382B8A"/>
    <w:rsid w:val="00385C16"/>
    <w:rsid w:val="003911D2"/>
    <w:rsid w:val="00392630"/>
    <w:rsid w:val="0039285A"/>
    <w:rsid w:val="00392923"/>
    <w:rsid w:val="003970BC"/>
    <w:rsid w:val="003A49AA"/>
    <w:rsid w:val="003B15DF"/>
    <w:rsid w:val="003B2EF7"/>
    <w:rsid w:val="003B40F6"/>
    <w:rsid w:val="003B6975"/>
    <w:rsid w:val="003B6DD0"/>
    <w:rsid w:val="003C155C"/>
    <w:rsid w:val="003C18F3"/>
    <w:rsid w:val="003C1E44"/>
    <w:rsid w:val="003C6CE9"/>
    <w:rsid w:val="003C6DF1"/>
    <w:rsid w:val="003C7537"/>
    <w:rsid w:val="003D53AE"/>
    <w:rsid w:val="003D55A9"/>
    <w:rsid w:val="003D73E8"/>
    <w:rsid w:val="003E123F"/>
    <w:rsid w:val="003E32A4"/>
    <w:rsid w:val="003F0B9D"/>
    <w:rsid w:val="003F7DB7"/>
    <w:rsid w:val="00402DB7"/>
    <w:rsid w:val="00413230"/>
    <w:rsid w:val="00413D28"/>
    <w:rsid w:val="00420DA3"/>
    <w:rsid w:val="00421CDC"/>
    <w:rsid w:val="00425EFA"/>
    <w:rsid w:val="00427101"/>
    <w:rsid w:val="00430B42"/>
    <w:rsid w:val="0043240A"/>
    <w:rsid w:val="00434515"/>
    <w:rsid w:val="0044147A"/>
    <w:rsid w:val="004416D4"/>
    <w:rsid w:val="00443671"/>
    <w:rsid w:val="00447489"/>
    <w:rsid w:val="004613CF"/>
    <w:rsid w:val="00461F01"/>
    <w:rsid w:val="004636D5"/>
    <w:rsid w:val="0046533B"/>
    <w:rsid w:val="0046668C"/>
    <w:rsid w:val="00467189"/>
    <w:rsid w:val="00470C6B"/>
    <w:rsid w:val="00474BF5"/>
    <w:rsid w:val="00497156"/>
    <w:rsid w:val="004978ED"/>
    <w:rsid w:val="00497E89"/>
    <w:rsid w:val="004A2054"/>
    <w:rsid w:val="004A77DC"/>
    <w:rsid w:val="004B2951"/>
    <w:rsid w:val="004B4CB4"/>
    <w:rsid w:val="004C296B"/>
    <w:rsid w:val="004C60BC"/>
    <w:rsid w:val="004C619D"/>
    <w:rsid w:val="004D7AA5"/>
    <w:rsid w:val="004E0590"/>
    <w:rsid w:val="004E15E1"/>
    <w:rsid w:val="004E48FD"/>
    <w:rsid w:val="004F21C4"/>
    <w:rsid w:val="00501816"/>
    <w:rsid w:val="00501C5E"/>
    <w:rsid w:val="005045D0"/>
    <w:rsid w:val="00505258"/>
    <w:rsid w:val="005202D2"/>
    <w:rsid w:val="0052657B"/>
    <w:rsid w:val="00531B46"/>
    <w:rsid w:val="0053320C"/>
    <w:rsid w:val="00533B9C"/>
    <w:rsid w:val="0053498B"/>
    <w:rsid w:val="005377BE"/>
    <w:rsid w:val="00540BF7"/>
    <w:rsid w:val="00543887"/>
    <w:rsid w:val="00552C53"/>
    <w:rsid w:val="0056435F"/>
    <w:rsid w:val="00567043"/>
    <w:rsid w:val="00570CEB"/>
    <w:rsid w:val="00570DC8"/>
    <w:rsid w:val="00580078"/>
    <w:rsid w:val="005808C4"/>
    <w:rsid w:val="00580C9B"/>
    <w:rsid w:val="00581A58"/>
    <w:rsid w:val="0058568D"/>
    <w:rsid w:val="0058727C"/>
    <w:rsid w:val="005878DB"/>
    <w:rsid w:val="00587A62"/>
    <w:rsid w:val="0059026D"/>
    <w:rsid w:val="00590908"/>
    <w:rsid w:val="00591023"/>
    <w:rsid w:val="00592828"/>
    <w:rsid w:val="00592BE3"/>
    <w:rsid w:val="005941F5"/>
    <w:rsid w:val="00596E6D"/>
    <w:rsid w:val="005A077A"/>
    <w:rsid w:val="005A412C"/>
    <w:rsid w:val="005B391C"/>
    <w:rsid w:val="005B4077"/>
    <w:rsid w:val="005C1271"/>
    <w:rsid w:val="005C164A"/>
    <w:rsid w:val="005C2D35"/>
    <w:rsid w:val="005C2E3D"/>
    <w:rsid w:val="005C3575"/>
    <w:rsid w:val="005C5A22"/>
    <w:rsid w:val="005D66CE"/>
    <w:rsid w:val="005E0441"/>
    <w:rsid w:val="005E0939"/>
    <w:rsid w:val="005E17AC"/>
    <w:rsid w:val="005E2171"/>
    <w:rsid w:val="005E4B23"/>
    <w:rsid w:val="005E6354"/>
    <w:rsid w:val="005F13A3"/>
    <w:rsid w:val="005F3876"/>
    <w:rsid w:val="005F5E92"/>
    <w:rsid w:val="00602722"/>
    <w:rsid w:val="00606713"/>
    <w:rsid w:val="0060693F"/>
    <w:rsid w:val="006072D4"/>
    <w:rsid w:val="006113A6"/>
    <w:rsid w:val="00611DB1"/>
    <w:rsid w:val="006220E7"/>
    <w:rsid w:val="006258F2"/>
    <w:rsid w:val="00626D4E"/>
    <w:rsid w:val="00631F38"/>
    <w:rsid w:val="00634D04"/>
    <w:rsid w:val="00650E75"/>
    <w:rsid w:val="0065236A"/>
    <w:rsid w:val="006528D9"/>
    <w:rsid w:val="00652EB5"/>
    <w:rsid w:val="006532AC"/>
    <w:rsid w:val="0065330C"/>
    <w:rsid w:val="00656E1D"/>
    <w:rsid w:val="00675001"/>
    <w:rsid w:val="006764F8"/>
    <w:rsid w:val="00676504"/>
    <w:rsid w:val="00677338"/>
    <w:rsid w:val="00681E7F"/>
    <w:rsid w:val="00686D36"/>
    <w:rsid w:val="00687D84"/>
    <w:rsid w:val="006A132B"/>
    <w:rsid w:val="006A4FF4"/>
    <w:rsid w:val="006B089F"/>
    <w:rsid w:val="006B3D82"/>
    <w:rsid w:val="006B4358"/>
    <w:rsid w:val="006B6F9D"/>
    <w:rsid w:val="006C38E8"/>
    <w:rsid w:val="006C3CA9"/>
    <w:rsid w:val="006C572B"/>
    <w:rsid w:val="006D0268"/>
    <w:rsid w:val="006D7368"/>
    <w:rsid w:val="006E0539"/>
    <w:rsid w:val="006E7B31"/>
    <w:rsid w:val="006F187F"/>
    <w:rsid w:val="006F4ACD"/>
    <w:rsid w:val="006F5A35"/>
    <w:rsid w:val="006F6554"/>
    <w:rsid w:val="006F6983"/>
    <w:rsid w:val="00710078"/>
    <w:rsid w:val="00710898"/>
    <w:rsid w:val="00710A29"/>
    <w:rsid w:val="007127DF"/>
    <w:rsid w:val="0071378A"/>
    <w:rsid w:val="00715D5F"/>
    <w:rsid w:val="00733180"/>
    <w:rsid w:val="00735CE4"/>
    <w:rsid w:val="0074176F"/>
    <w:rsid w:val="00741FA6"/>
    <w:rsid w:val="00746E5A"/>
    <w:rsid w:val="007509B2"/>
    <w:rsid w:val="007527BD"/>
    <w:rsid w:val="0075483B"/>
    <w:rsid w:val="00760DAB"/>
    <w:rsid w:val="00761175"/>
    <w:rsid w:val="0076122D"/>
    <w:rsid w:val="0076211B"/>
    <w:rsid w:val="00787DA7"/>
    <w:rsid w:val="0079021F"/>
    <w:rsid w:val="00791E5E"/>
    <w:rsid w:val="007A058E"/>
    <w:rsid w:val="007A14F8"/>
    <w:rsid w:val="007A2667"/>
    <w:rsid w:val="007B1A5E"/>
    <w:rsid w:val="007B2847"/>
    <w:rsid w:val="007B6714"/>
    <w:rsid w:val="007C0D9F"/>
    <w:rsid w:val="007C1036"/>
    <w:rsid w:val="007C3E42"/>
    <w:rsid w:val="007C3F6C"/>
    <w:rsid w:val="007C4998"/>
    <w:rsid w:val="007C589C"/>
    <w:rsid w:val="007D0D91"/>
    <w:rsid w:val="007D1DD5"/>
    <w:rsid w:val="007E4336"/>
    <w:rsid w:val="007F0399"/>
    <w:rsid w:val="007F360B"/>
    <w:rsid w:val="00804968"/>
    <w:rsid w:val="00817CC9"/>
    <w:rsid w:val="0082469C"/>
    <w:rsid w:val="00824F7B"/>
    <w:rsid w:val="0082642F"/>
    <w:rsid w:val="00826A62"/>
    <w:rsid w:val="00827929"/>
    <w:rsid w:val="00827F01"/>
    <w:rsid w:val="008321FB"/>
    <w:rsid w:val="00835A13"/>
    <w:rsid w:val="00836F1A"/>
    <w:rsid w:val="0084013E"/>
    <w:rsid w:val="0084119F"/>
    <w:rsid w:val="00851E63"/>
    <w:rsid w:val="00856896"/>
    <w:rsid w:val="00856DBD"/>
    <w:rsid w:val="0086065A"/>
    <w:rsid w:val="008643CC"/>
    <w:rsid w:val="008738F1"/>
    <w:rsid w:val="00874744"/>
    <w:rsid w:val="00884588"/>
    <w:rsid w:val="008873DA"/>
    <w:rsid w:val="0089002E"/>
    <w:rsid w:val="00890863"/>
    <w:rsid w:val="00891BB0"/>
    <w:rsid w:val="0089403A"/>
    <w:rsid w:val="00894861"/>
    <w:rsid w:val="0089635C"/>
    <w:rsid w:val="008A0375"/>
    <w:rsid w:val="008A0A12"/>
    <w:rsid w:val="008A124E"/>
    <w:rsid w:val="008A1DB0"/>
    <w:rsid w:val="008A4331"/>
    <w:rsid w:val="008A5FBB"/>
    <w:rsid w:val="008A79B5"/>
    <w:rsid w:val="008B0113"/>
    <w:rsid w:val="008B3E3A"/>
    <w:rsid w:val="008B4301"/>
    <w:rsid w:val="008B7B99"/>
    <w:rsid w:val="008C1D98"/>
    <w:rsid w:val="008C3888"/>
    <w:rsid w:val="008D2F6D"/>
    <w:rsid w:val="008D6120"/>
    <w:rsid w:val="008D7AC9"/>
    <w:rsid w:val="008E2DFF"/>
    <w:rsid w:val="008F27A8"/>
    <w:rsid w:val="008F6CD3"/>
    <w:rsid w:val="0090015B"/>
    <w:rsid w:val="00901A01"/>
    <w:rsid w:val="00901F5A"/>
    <w:rsid w:val="00905657"/>
    <w:rsid w:val="00910B8F"/>
    <w:rsid w:val="009122C3"/>
    <w:rsid w:val="00913087"/>
    <w:rsid w:val="00913730"/>
    <w:rsid w:val="00915A81"/>
    <w:rsid w:val="009203DF"/>
    <w:rsid w:val="00920F2C"/>
    <w:rsid w:val="00921AF1"/>
    <w:rsid w:val="009449DF"/>
    <w:rsid w:val="00944EC0"/>
    <w:rsid w:val="0094681D"/>
    <w:rsid w:val="009468EA"/>
    <w:rsid w:val="00950ABE"/>
    <w:rsid w:val="00955224"/>
    <w:rsid w:val="00955D48"/>
    <w:rsid w:val="00956DDE"/>
    <w:rsid w:val="00960AD4"/>
    <w:rsid w:val="0096282E"/>
    <w:rsid w:val="0096542D"/>
    <w:rsid w:val="009730A8"/>
    <w:rsid w:val="0097638A"/>
    <w:rsid w:val="00977E9F"/>
    <w:rsid w:val="009803CE"/>
    <w:rsid w:val="00984939"/>
    <w:rsid w:val="009905E3"/>
    <w:rsid w:val="00990EB3"/>
    <w:rsid w:val="00996827"/>
    <w:rsid w:val="009A15F6"/>
    <w:rsid w:val="009A68B2"/>
    <w:rsid w:val="009A7B7B"/>
    <w:rsid w:val="009B58C4"/>
    <w:rsid w:val="009C021B"/>
    <w:rsid w:val="009C20CB"/>
    <w:rsid w:val="009D0346"/>
    <w:rsid w:val="009D395F"/>
    <w:rsid w:val="009D702F"/>
    <w:rsid w:val="009E18E9"/>
    <w:rsid w:val="009E2870"/>
    <w:rsid w:val="009E422F"/>
    <w:rsid w:val="009E46EC"/>
    <w:rsid w:val="009E4C88"/>
    <w:rsid w:val="009E5BDB"/>
    <w:rsid w:val="009F19B4"/>
    <w:rsid w:val="009F1BA0"/>
    <w:rsid w:val="009F2C29"/>
    <w:rsid w:val="009F3153"/>
    <w:rsid w:val="00A00693"/>
    <w:rsid w:val="00A007F1"/>
    <w:rsid w:val="00A015DD"/>
    <w:rsid w:val="00A03235"/>
    <w:rsid w:val="00A11919"/>
    <w:rsid w:val="00A151AF"/>
    <w:rsid w:val="00A32D25"/>
    <w:rsid w:val="00A33109"/>
    <w:rsid w:val="00A42A23"/>
    <w:rsid w:val="00A44EB6"/>
    <w:rsid w:val="00A535F7"/>
    <w:rsid w:val="00A6092D"/>
    <w:rsid w:val="00A61943"/>
    <w:rsid w:val="00A6364C"/>
    <w:rsid w:val="00A64A9B"/>
    <w:rsid w:val="00A71A68"/>
    <w:rsid w:val="00A73944"/>
    <w:rsid w:val="00A744B1"/>
    <w:rsid w:val="00A75C0D"/>
    <w:rsid w:val="00A80E3D"/>
    <w:rsid w:val="00A84CD8"/>
    <w:rsid w:val="00A8553B"/>
    <w:rsid w:val="00A87826"/>
    <w:rsid w:val="00A91181"/>
    <w:rsid w:val="00A93033"/>
    <w:rsid w:val="00A935B5"/>
    <w:rsid w:val="00AA0CFB"/>
    <w:rsid w:val="00AB24EB"/>
    <w:rsid w:val="00AB266F"/>
    <w:rsid w:val="00AC0FB4"/>
    <w:rsid w:val="00AC56BA"/>
    <w:rsid w:val="00AC6594"/>
    <w:rsid w:val="00AD6092"/>
    <w:rsid w:val="00AD7B14"/>
    <w:rsid w:val="00AE00DE"/>
    <w:rsid w:val="00AE07A3"/>
    <w:rsid w:val="00AE0B1B"/>
    <w:rsid w:val="00AE13FB"/>
    <w:rsid w:val="00AE48F5"/>
    <w:rsid w:val="00AE5B75"/>
    <w:rsid w:val="00AF4CE9"/>
    <w:rsid w:val="00AF7A63"/>
    <w:rsid w:val="00B051A3"/>
    <w:rsid w:val="00B05C9B"/>
    <w:rsid w:val="00B12817"/>
    <w:rsid w:val="00B1482F"/>
    <w:rsid w:val="00B1722B"/>
    <w:rsid w:val="00B17C44"/>
    <w:rsid w:val="00B17F0F"/>
    <w:rsid w:val="00B20170"/>
    <w:rsid w:val="00B27E5D"/>
    <w:rsid w:val="00B3366A"/>
    <w:rsid w:val="00B3398B"/>
    <w:rsid w:val="00B53A2E"/>
    <w:rsid w:val="00B63170"/>
    <w:rsid w:val="00B645B5"/>
    <w:rsid w:val="00B65383"/>
    <w:rsid w:val="00B75105"/>
    <w:rsid w:val="00B75791"/>
    <w:rsid w:val="00B77251"/>
    <w:rsid w:val="00B80067"/>
    <w:rsid w:val="00B93DEE"/>
    <w:rsid w:val="00B952DE"/>
    <w:rsid w:val="00BA1B10"/>
    <w:rsid w:val="00BA692B"/>
    <w:rsid w:val="00BA79F3"/>
    <w:rsid w:val="00BB09F7"/>
    <w:rsid w:val="00BB0B7E"/>
    <w:rsid w:val="00BB1E47"/>
    <w:rsid w:val="00BB32CD"/>
    <w:rsid w:val="00BB442F"/>
    <w:rsid w:val="00BB5714"/>
    <w:rsid w:val="00BC0B9B"/>
    <w:rsid w:val="00BC1169"/>
    <w:rsid w:val="00BC2622"/>
    <w:rsid w:val="00BC3729"/>
    <w:rsid w:val="00BC7BD7"/>
    <w:rsid w:val="00BD2859"/>
    <w:rsid w:val="00BD30A4"/>
    <w:rsid w:val="00BD4597"/>
    <w:rsid w:val="00BE0B18"/>
    <w:rsid w:val="00BF0893"/>
    <w:rsid w:val="00BF525D"/>
    <w:rsid w:val="00BF6246"/>
    <w:rsid w:val="00BF66E8"/>
    <w:rsid w:val="00C03607"/>
    <w:rsid w:val="00C22EB6"/>
    <w:rsid w:val="00C23446"/>
    <w:rsid w:val="00C24D74"/>
    <w:rsid w:val="00C25926"/>
    <w:rsid w:val="00C32F17"/>
    <w:rsid w:val="00C400D3"/>
    <w:rsid w:val="00C42813"/>
    <w:rsid w:val="00C51E1E"/>
    <w:rsid w:val="00C52072"/>
    <w:rsid w:val="00C522DE"/>
    <w:rsid w:val="00C55A74"/>
    <w:rsid w:val="00C56750"/>
    <w:rsid w:val="00C56B9F"/>
    <w:rsid w:val="00C579F0"/>
    <w:rsid w:val="00C57C5F"/>
    <w:rsid w:val="00C70F45"/>
    <w:rsid w:val="00C72E7D"/>
    <w:rsid w:val="00C733DB"/>
    <w:rsid w:val="00C74003"/>
    <w:rsid w:val="00C76F85"/>
    <w:rsid w:val="00C7790A"/>
    <w:rsid w:val="00C81248"/>
    <w:rsid w:val="00C92439"/>
    <w:rsid w:val="00CA378F"/>
    <w:rsid w:val="00CA382E"/>
    <w:rsid w:val="00CA77AE"/>
    <w:rsid w:val="00CA7E63"/>
    <w:rsid w:val="00CB0C5F"/>
    <w:rsid w:val="00CB1549"/>
    <w:rsid w:val="00CB2467"/>
    <w:rsid w:val="00CB49C8"/>
    <w:rsid w:val="00CB7149"/>
    <w:rsid w:val="00CB7349"/>
    <w:rsid w:val="00CC219D"/>
    <w:rsid w:val="00CC29D3"/>
    <w:rsid w:val="00CD2B2C"/>
    <w:rsid w:val="00CD36C1"/>
    <w:rsid w:val="00CD495E"/>
    <w:rsid w:val="00CD5FF4"/>
    <w:rsid w:val="00CE346C"/>
    <w:rsid w:val="00CF1345"/>
    <w:rsid w:val="00CF210F"/>
    <w:rsid w:val="00CF2531"/>
    <w:rsid w:val="00CF350B"/>
    <w:rsid w:val="00CF5EBE"/>
    <w:rsid w:val="00CF6DF1"/>
    <w:rsid w:val="00D0417D"/>
    <w:rsid w:val="00D0491B"/>
    <w:rsid w:val="00D14C6D"/>
    <w:rsid w:val="00D14DCF"/>
    <w:rsid w:val="00D15CC0"/>
    <w:rsid w:val="00D24C8B"/>
    <w:rsid w:val="00D25575"/>
    <w:rsid w:val="00D258E6"/>
    <w:rsid w:val="00D33245"/>
    <w:rsid w:val="00D42634"/>
    <w:rsid w:val="00D45E12"/>
    <w:rsid w:val="00D47162"/>
    <w:rsid w:val="00D509C8"/>
    <w:rsid w:val="00D53084"/>
    <w:rsid w:val="00D56F70"/>
    <w:rsid w:val="00D6322D"/>
    <w:rsid w:val="00D771AF"/>
    <w:rsid w:val="00D80A8B"/>
    <w:rsid w:val="00D8353D"/>
    <w:rsid w:val="00D85ACC"/>
    <w:rsid w:val="00D9032C"/>
    <w:rsid w:val="00D92EA5"/>
    <w:rsid w:val="00D93F2E"/>
    <w:rsid w:val="00D955DB"/>
    <w:rsid w:val="00DA30BE"/>
    <w:rsid w:val="00DA5373"/>
    <w:rsid w:val="00DA598C"/>
    <w:rsid w:val="00DB2C3C"/>
    <w:rsid w:val="00DB7733"/>
    <w:rsid w:val="00DB7A6B"/>
    <w:rsid w:val="00DC197F"/>
    <w:rsid w:val="00DC48DB"/>
    <w:rsid w:val="00DD0A85"/>
    <w:rsid w:val="00DD10CE"/>
    <w:rsid w:val="00DD1FDD"/>
    <w:rsid w:val="00DD4CFE"/>
    <w:rsid w:val="00DE33B3"/>
    <w:rsid w:val="00DE3408"/>
    <w:rsid w:val="00DE4E79"/>
    <w:rsid w:val="00DF028B"/>
    <w:rsid w:val="00DF41E6"/>
    <w:rsid w:val="00DF4D39"/>
    <w:rsid w:val="00DF7773"/>
    <w:rsid w:val="00E01181"/>
    <w:rsid w:val="00E04E55"/>
    <w:rsid w:val="00E064C4"/>
    <w:rsid w:val="00E117ED"/>
    <w:rsid w:val="00E12A01"/>
    <w:rsid w:val="00E141DC"/>
    <w:rsid w:val="00E22ECC"/>
    <w:rsid w:val="00E318AA"/>
    <w:rsid w:val="00E34C59"/>
    <w:rsid w:val="00E35308"/>
    <w:rsid w:val="00E3692A"/>
    <w:rsid w:val="00E377CE"/>
    <w:rsid w:val="00E45B61"/>
    <w:rsid w:val="00E45D3F"/>
    <w:rsid w:val="00E50D4A"/>
    <w:rsid w:val="00E53683"/>
    <w:rsid w:val="00E5476B"/>
    <w:rsid w:val="00E57032"/>
    <w:rsid w:val="00E63675"/>
    <w:rsid w:val="00E64B6C"/>
    <w:rsid w:val="00E708F4"/>
    <w:rsid w:val="00E709F8"/>
    <w:rsid w:val="00E70E1E"/>
    <w:rsid w:val="00E72A60"/>
    <w:rsid w:val="00E72BFA"/>
    <w:rsid w:val="00E7361B"/>
    <w:rsid w:val="00E759FC"/>
    <w:rsid w:val="00E809EE"/>
    <w:rsid w:val="00E8172C"/>
    <w:rsid w:val="00E862C7"/>
    <w:rsid w:val="00E86EA6"/>
    <w:rsid w:val="00E93D8D"/>
    <w:rsid w:val="00E95F22"/>
    <w:rsid w:val="00E97B48"/>
    <w:rsid w:val="00EA6A85"/>
    <w:rsid w:val="00EB20B0"/>
    <w:rsid w:val="00EB65F8"/>
    <w:rsid w:val="00EB68F4"/>
    <w:rsid w:val="00EC2B3F"/>
    <w:rsid w:val="00EC6D21"/>
    <w:rsid w:val="00EC7968"/>
    <w:rsid w:val="00EC7D55"/>
    <w:rsid w:val="00EE6F62"/>
    <w:rsid w:val="00EE776E"/>
    <w:rsid w:val="00F013EC"/>
    <w:rsid w:val="00F07201"/>
    <w:rsid w:val="00F0780C"/>
    <w:rsid w:val="00F11AE1"/>
    <w:rsid w:val="00F13F9B"/>
    <w:rsid w:val="00F253D9"/>
    <w:rsid w:val="00F25547"/>
    <w:rsid w:val="00F257CB"/>
    <w:rsid w:val="00F30961"/>
    <w:rsid w:val="00F35DDC"/>
    <w:rsid w:val="00F36184"/>
    <w:rsid w:val="00F40AB8"/>
    <w:rsid w:val="00F4256D"/>
    <w:rsid w:val="00F47240"/>
    <w:rsid w:val="00F52EC1"/>
    <w:rsid w:val="00F531F2"/>
    <w:rsid w:val="00F536DB"/>
    <w:rsid w:val="00F53DDD"/>
    <w:rsid w:val="00F54635"/>
    <w:rsid w:val="00F6260E"/>
    <w:rsid w:val="00F63CC1"/>
    <w:rsid w:val="00F7125F"/>
    <w:rsid w:val="00F71A71"/>
    <w:rsid w:val="00F72386"/>
    <w:rsid w:val="00F72EFF"/>
    <w:rsid w:val="00F743F9"/>
    <w:rsid w:val="00F77C06"/>
    <w:rsid w:val="00F82A59"/>
    <w:rsid w:val="00F830A1"/>
    <w:rsid w:val="00F83751"/>
    <w:rsid w:val="00F8771C"/>
    <w:rsid w:val="00F93097"/>
    <w:rsid w:val="00F93355"/>
    <w:rsid w:val="00FA0CED"/>
    <w:rsid w:val="00FB118C"/>
    <w:rsid w:val="00FB2A0B"/>
    <w:rsid w:val="00FB5487"/>
    <w:rsid w:val="00FB6C27"/>
    <w:rsid w:val="00FC0606"/>
    <w:rsid w:val="00FC084A"/>
    <w:rsid w:val="00FC6E19"/>
    <w:rsid w:val="00FC6ECB"/>
    <w:rsid w:val="00FD0CB3"/>
    <w:rsid w:val="00FD14C5"/>
    <w:rsid w:val="00FD324F"/>
    <w:rsid w:val="00FD61CE"/>
    <w:rsid w:val="00FE1155"/>
    <w:rsid w:val="00FE3A6A"/>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2173"/>
  <w15:chartTrackingRefBased/>
  <w15:docId w15:val="{53C6A4D7-FF65-6446-B845-0EE3AB1A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DDE"/>
    <w:pPr>
      <w:keepNext/>
      <w:keepLines/>
      <w:spacing w:before="240"/>
      <w:outlineLvl w:val="0"/>
    </w:pPr>
    <w:rPr>
      <w:rFonts w:ascii="Cambria" w:eastAsia="Times New Roman" w:hAnsi="Cambria" w:cs="Times New Roman"/>
      <w:b/>
      <w:bCs/>
      <w:color w:val="009CCE"/>
      <w:sz w:val="28"/>
      <w:szCs w:val="28"/>
    </w:rPr>
  </w:style>
  <w:style w:type="paragraph" w:styleId="Heading2">
    <w:name w:val="heading 2"/>
    <w:basedOn w:val="Normal"/>
    <w:next w:val="Normal"/>
    <w:link w:val="Heading2Char"/>
    <w:uiPriority w:val="9"/>
    <w:semiHidden/>
    <w:unhideWhenUsed/>
    <w:qFormat/>
    <w:rsid w:val="00956DDE"/>
    <w:pPr>
      <w:keepNext/>
      <w:keepLines/>
      <w:spacing w:before="40"/>
      <w:outlineLvl w:val="1"/>
    </w:pPr>
    <w:rPr>
      <w:rFonts w:ascii="Cambria" w:eastAsia="Times New Roman" w:hAnsi="Cambria" w:cs="Times New Roman"/>
      <w:b/>
      <w:bCs/>
      <w:color w:val="4BACC6"/>
      <w:sz w:val="26"/>
      <w:szCs w:val="26"/>
    </w:rPr>
  </w:style>
  <w:style w:type="paragraph" w:styleId="Heading3">
    <w:name w:val="heading 3"/>
    <w:basedOn w:val="Normal"/>
    <w:next w:val="Normal"/>
    <w:link w:val="Heading3Char"/>
    <w:uiPriority w:val="9"/>
    <w:semiHidden/>
    <w:unhideWhenUsed/>
    <w:qFormat/>
    <w:rsid w:val="00956DDE"/>
    <w:pPr>
      <w:keepNext/>
      <w:keepLines/>
      <w:spacing w:before="40"/>
      <w:outlineLvl w:val="2"/>
    </w:pPr>
    <w:rPr>
      <w:rFonts w:ascii="Cambria" w:eastAsia="Times New Roman" w:hAnsi="Cambria" w:cs="Times New Roman"/>
      <w:b/>
      <w:bCs/>
      <w:color w:val="282626"/>
      <w14:textFill>
        <w14:solidFill>
          <w14:srgbClr w14:val="282626">
            <w14:alpha w14:val="20000"/>
          </w14:srgbClr>
        </w14:solidFill>
      </w14:textFill>
    </w:rPr>
  </w:style>
  <w:style w:type="paragraph" w:styleId="Heading4">
    <w:name w:val="heading 4"/>
    <w:basedOn w:val="Normal"/>
    <w:next w:val="Normal"/>
    <w:link w:val="Heading4Char"/>
    <w:uiPriority w:val="9"/>
    <w:unhideWhenUsed/>
    <w:rsid w:val="00956DDE"/>
    <w:pPr>
      <w:keepNext/>
      <w:jc w:val="both"/>
      <w:outlineLvl w:val="3"/>
    </w:pPr>
    <w:rPr>
      <w:b/>
      <w:sz w:val="22"/>
    </w:rPr>
  </w:style>
  <w:style w:type="paragraph" w:styleId="Heading5">
    <w:name w:val="heading 5"/>
    <w:basedOn w:val="Normal"/>
    <w:next w:val="Normal"/>
    <w:link w:val="Heading5Char"/>
    <w:uiPriority w:val="9"/>
    <w:semiHidden/>
    <w:unhideWhenUsed/>
    <w:qFormat/>
    <w:rsid w:val="00956DDE"/>
    <w:pPr>
      <w:keepNext/>
      <w:keepLines/>
      <w:spacing w:before="40"/>
      <w:outlineLvl w:val="4"/>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56DDE"/>
    <w:pPr>
      <w:keepNext/>
      <w:keepLines/>
      <w:spacing w:before="480"/>
      <w:jc w:val="both"/>
      <w:outlineLvl w:val="0"/>
    </w:pPr>
    <w:rPr>
      <w:rFonts w:ascii="Cambria" w:eastAsia="Times New Roman" w:hAnsi="Cambria" w:cs="Times New Roman"/>
      <w:b/>
      <w:iCs/>
      <w:color w:val="009CCE"/>
      <w:sz w:val="28"/>
      <w:szCs w:val="28"/>
    </w:rPr>
  </w:style>
  <w:style w:type="paragraph" w:customStyle="1" w:styleId="Heading21">
    <w:name w:val="Heading 21"/>
    <w:basedOn w:val="Normal"/>
    <w:next w:val="Normal"/>
    <w:uiPriority w:val="9"/>
    <w:unhideWhenUsed/>
    <w:qFormat/>
    <w:rsid w:val="00956DDE"/>
    <w:pPr>
      <w:keepNext/>
      <w:keepLines/>
      <w:jc w:val="both"/>
      <w:outlineLvl w:val="1"/>
    </w:pPr>
    <w:rPr>
      <w:rFonts w:ascii="Cambria" w:eastAsia="Times New Roman" w:hAnsi="Cambria" w:cs="Times New Roman"/>
      <w:b/>
      <w:iCs/>
      <w:color w:val="4BACC6"/>
      <w:sz w:val="26"/>
      <w:szCs w:val="26"/>
    </w:rPr>
  </w:style>
  <w:style w:type="paragraph" w:customStyle="1" w:styleId="Heading31">
    <w:name w:val="Heading 31"/>
    <w:basedOn w:val="Normal"/>
    <w:next w:val="Normal"/>
    <w:uiPriority w:val="9"/>
    <w:unhideWhenUsed/>
    <w:qFormat/>
    <w:rsid w:val="00956DDE"/>
    <w:pPr>
      <w:keepNext/>
      <w:keepLines/>
      <w:jc w:val="both"/>
      <w:outlineLvl w:val="2"/>
    </w:pPr>
    <w:rPr>
      <w:rFonts w:ascii="Cambria" w:eastAsia="Times New Roman" w:hAnsi="Cambria" w:cs="Times New Roman"/>
      <w:b/>
      <w:iCs/>
      <w:color w:val="282626"/>
      <w:sz w:val="22"/>
      <w14:textFill>
        <w14:solidFill>
          <w14:srgbClr w14:val="282626">
            <w14:alpha w14:val="20000"/>
          </w14:srgbClr>
        </w14:solidFill>
      </w14:textFill>
    </w:rPr>
  </w:style>
  <w:style w:type="character" w:customStyle="1" w:styleId="Heading4Char">
    <w:name w:val="Heading 4 Char"/>
    <w:basedOn w:val="DefaultParagraphFont"/>
    <w:link w:val="Heading4"/>
    <w:uiPriority w:val="9"/>
    <w:rsid w:val="00956DDE"/>
    <w:rPr>
      <w:b/>
      <w:sz w:val="22"/>
    </w:rPr>
  </w:style>
  <w:style w:type="paragraph" w:customStyle="1" w:styleId="Heading51">
    <w:name w:val="Heading 51"/>
    <w:basedOn w:val="Normal"/>
    <w:next w:val="Normal"/>
    <w:uiPriority w:val="9"/>
    <w:unhideWhenUsed/>
    <w:rsid w:val="00956DDE"/>
    <w:pPr>
      <w:keepNext/>
      <w:jc w:val="both"/>
      <w:outlineLvl w:val="4"/>
    </w:pPr>
    <w:rPr>
      <w:rFonts w:cs="Calibri"/>
      <w:b/>
      <w:sz w:val="22"/>
    </w:rPr>
  </w:style>
  <w:style w:type="numbering" w:customStyle="1" w:styleId="NoList1">
    <w:name w:val="No List1"/>
    <w:next w:val="NoList"/>
    <w:uiPriority w:val="99"/>
    <w:semiHidden/>
    <w:unhideWhenUsed/>
    <w:rsid w:val="00956DDE"/>
  </w:style>
  <w:style w:type="character" w:customStyle="1" w:styleId="Heading1Char">
    <w:name w:val="Heading 1 Char"/>
    <w:basedOn w:val="DefaultParagraphFont"/>
    <w:link w:val="Heading1"/>
    <w:uiPriority w:val="9"/>
    <w:rsid w:val="00956DDE"/>
    <w:rPr>
      <w:rFonts w:ascii="Cambria" w:eastAsia="Times New Roman" w:hAnsi="Cambria" w:cs="Times New Roman"/>
      <w:b/>
      <w:bCs/>
      <w:color w:val="009CCE"/>
      <w:sz w:val="28"/>
      <w:szCs w:val="28"/>
    </w:rPr>
  </w:style>
  <w:style w:type="character" w:customStyle="1" w:styleId="Heading2Char">
    <w:name w:val="Heading 2 Char"/>
    <w:basedOn w:val="DefaultParagraphFont"/>
    <w:link w:val="Heading2"/>
    <w:uiPriority w:val="9"/>
    <w:rsid w:val="00956DDE"/>
    <w:rPr>
      <w:rFonts w:ascii="Cambria" w:eastAsia="Times New Roman" w:hAnsi="Cambria" w:cs="Times New Roman"/>
      <w:b/>
      <w:bCs/>
      <w:color w:val="4BACC6"/>
      <w:sz w:val="26"/>
      <w:szCs w:val="26"/>
    </w:rPr>
  </w:style>
  <w:style w:type="character" w:customStyle="1" w:styleId="Heading3Char">
    <w:name w:val="Heading 3 Char"/>
    <w:basedOn w:val="DefaultParagraphFont"/>
    <w:link w:val="Heading3"/>
    <w:uiPriority w:val="9"/>
    <w:rsid w:val="00956DDE"/>
    <w:rPr>
      <w:rFonts w:ascii="Cambria" w:eastAsia="Times New Roman" w:hAnsi="Cambria" w:cs="Times New Roman"/>
      <w:b/>
      <w:bCs/>
      <w:color w:val="282626"/>
      <w14:textFill>
        <w14:solidFill>
          <w14:srgbClr w14:val="282626">
            <w14:alpha w14:val="20000"/>
          </w14:srgbClr>
        </w14:solidFill>
      </w14:textFill>
    </w:rPr>
  </w:style>
  <w:style w:type="paragraph" w:styleId="Caption">
    <w:name w:val="caption"/>
    <w:basedOn w:val="Normal"/>
    <w:next w:val="Normal"/>
    <w:uiPriority w:val="35"/>
    <w:unhideWhenUsed/>
    <w:qFormat/>
    <w:rsid w:val="00956DDE"/>
    <w:pPr>
      <w:keepNext/>
      <w:jc w:val="center"/>
    </w:pPr>
    <w:rPr>
      <w:b/>
      <w:sz w:val="22"/>
    </w:rPr>
  </w:style>
  <w:style w:type="paragraph" w:customStyle="1" w:styleId="Title1">
    <w:name w:val="Title1"/>
    <w:basedOn w:val="Normal"/>
    <w:next w:val="Normal"/>
    <w:uiPriority w:val="10"/>
    <w:qFormat/>
    <w:rsid w:val="00956DDE"/>
    <w:pPr>
      <w:pBdr>
        <w:bottom w:val="single" w:sz="8" w:space="4" w:color="009CCE"/>
      </w:pBdr>
      <w:spacing w:after="300"/>
      <w:contextualSpacing/>
      <w:jc w:val="both"/>
    </w:pPr>
    <w:rPr>
      <w:rFonts w:ascii="Cambria" w:eastAsia="Times New Roman" w:hAnsi="Cambria" w:cs="Times New Roman"/>
      <w:color w:val="009CCE"/>
      <w:spacing w:val="5"/>
      <w:kern w:val="28"/>
      <w:sz w:val="52"/>
      <w:szCs w:val="52"/>
    </w:rPr>
  </w:style>
  <w:style w:type="character" w:customStyle="1" w:styleId="TitleChar">
    <w:name w:val="Title Char"/>
    <w:basedOn w:val="DefaultParagraphFont"/>
    <w:link w:val="Title"/>
    <w:uiPriority w:val="10"/>
    <w:rsid w:val="00956DDE"/>
    <w:rPr>
      <w:rFonts w:ascii="Cambria" w:eastAsia="Times New Roman" w:hAnsi="Cambria" w:cs="Times New Roman"/>
      <w:bCs/>
      <w:iCs/>
      <w:color w:val="009CCE"/>
      <w:spacing w:val="5"/>
      <w:kern w:val="28"/>
      <w:sz w:val="52"/>
      <w:szCs w:val="52"/>
    </w:rPr>
  </w:style>
  <w:style w:type="paragraph" w:styleId="ListParagraph">
    <w:name w:val="List Paragraph"/>
    <w:basedOn w:val="Normal"/>
    <w:uiPriority w:val="34"/>
    <w:qFormat/>
    <w:rsid w:val="00956DDE"/>
    <w:pPr>
      <w:ind w:left="720"/>
      <w:contextualSpacing/>
      <w:jc w:val="both"/>
    </w:pPr>
    <w:rPr>
      <w:sz w:val="22"/>
    </w:rPr>
  </w:style>
  <w:style w:type="character" w:styleId="CommentReference">
    <w:name w:val="annotation reference"/>
    <w:basedOn w:val="DefaultParagraphFont"/>
    <w:uiPriority w:val="99"/>
    <w:semiHidden/>
    <w:unhideWhenUsed/>
    <w:rsid w:val="00956DDE"/>
    <w:rPr>
      <w:sz w:val="16"/>
      <w:szCs w:val="16"/>
    </w:rPr>
  </w:style>
  <w:style w:type="paragraph" w:styleId="CommentText">
    <w:name w:val="annotation text"/>
    <w:basedOn w:val="Normal"/>
    <w:link w:val="CommentTextChar"/>
    <w:uiPriority w:val="99"/>
    <w:unhideWhenUsed/>
    <w:rsid w:val="00956DDE"/>
    <w:pPr>
      <w:jc w:val="both"/>
    </w:pPr>
    <w:rPr>
      <w:sz w:val="20"/>
      <w:szCs w:val="20"/>
    </w:rPr>
  </w:style>
  <w:style w:type="character" w:customStyle="1" w:styleId="CommentTextChar">
    <w:name w:val="Comment Text Char"/>
    <w:basedOn w:val="DefaultParagraphFont"/>
    <w:link w:val="CommentText"/>
    <w:uiPriority w:val="99"/>
    <w:rsid w:val="00956DDE"/>
    <w:rPr>
      <w:sz w:val="20"/>
      <w:szCs w:val="20"/>
    </w:rPr>
  </w:style>
  <w:style w:type="paragraph" w:customStyle="1" w:styleId="FootnoteText1">
    <w:name w:val="Footnote Text1"/>
    <w:basedOn w:val="Normal"/>
    <w:next w:val="FootnoteText"/>
    <w:link w:val="FootnoteTextChar"/>
    <w:uiPriority w:val="99"/>
    <w:unhideWhenUsed/>
    <w:rsid w:val="00956DDE"/>
    <w:pPr>
      <w:jc w:val="both"/>
    </w:pPr>
    <w:rPr>
      <w:rFonts w:eastAsia="Times New Roman"/>
      <w:bCs/>
      <w:iCs/>
      <w:sz w:val="20"/>
      <w:szCs w:val="20"/>
    </w:rPr>
  </w:style>
  <w:style w:type="character" w:customStyle="1" w:styleId="FootnoteTextChar">
    <w:name w:val="Footnote Text Char"/>
    <w:basedOn w:val="DefaultParagraphFont"/>
    <w:link w:val="FootnoteText1"/>
    <w:uiPriority w:val="99"/>
    <w:rsid w:val="00956DDE"/>
    <w:rPr>
      <w:rFonts w:eastAsia="Times New Roman"/>
      <w:bCs/>
      <w:iCs/>
      <w:sz w:val="20"/>
      <w:szCs w:val="20"/>
    </w:rPr>
  </w:style>
  <w:style w:type="character" w:styleId="FootnoteReference">
    <w:name w:val="footnote reference"/>
    <w:basedOn w:val="DefaultParagraphFont"/>
    <w:uiPriority w:val="99"/>
    <w:semiHidden/>
    <w:unhideWhenUsed/>
    <w:rsid w:val="00956DDE"/>
    <w:rPr>
      <w:vertAlign w:val="superscript"/>
    </w:rPr>
  </w:style>
  <w:style w:type="character" w:customStyle="1" w:styleId="Hyperlink1">
    <w:name w:val="Hyperlink1"/>
    <w:basedOn w:val="DefaultParagraphFont"/>
    <w:uiPriority w:val="99"/>
    <w:unhideWhenUsed/>
    <w:rsid w:val="00956DDE"/>
    <w:rPr>
      <w:color w:val="0000FF"/>
      <w:u w:val="single"/>
    </w:rPr>
  </w:style>
  <w:style w:type="paragraph" w:styleId="Header">
    <w:name w:val="header"/>
    <w:basedOn w:val="Normal"/>
    <w:link w:val="HeaderChar"/>
    <w:uiPriority w:val="99"/>
    <w:unhideWhenUsed/>
    <w:rsid w:val="00956DDE"/>
    <w:pPr>
      <w:tabs>
        <w:tab w:val="center" w:pos="4680"/>
        <w:tab w:val="right" w:pos="9360"/>
      </w:tabs>
      <w:jc w:val="both"/>
    </w:pPr>
    <w:rPr>
      <w:sz w:val="22"/>
    </w:rPr>
  </w:style>
  <w:style w:type="character" w:customStyle="1" w:styleId="HeaderChar">
    <w:name w:val="Header Char"/>
    <w:basedOn w:val="DefaultParagraphFont"/>
    <w:link w:val="Header"/>
    <w:uiPriority w:val="99"/>
    <w:rsid w:val="00956DDE"/>
    <w:rPr>
      <w:sz w:val="22"/>
    </w:rPr>
  </w:style>
  <w:style w:type="paragraph" w:styleId="Footer">
    <w:name w:val="footer"/>
    <w:basedOn w:val="Normal"/>
    <w:link w:val="FooterChar"/>
    <w:uiPriority w:val="99"/>
    <w:unhideWhenUsed/>
    <w:rsid w:val="00956DDE"/>
    <w:pPr>
      <w:tabs>
        <w:tab w:val="center" w:pos="4680"/>
        <w:tab w:val="right" w:pos="9360"/>
      </w:tabs>
      <w:jc w:val="both"/>
    </w:pPr>
    <w:rPr>
      <w:sz w:val="22"/>
    </w:rPr>
  </w:style>
  <w:style w:type="character" w:customStyle="1" w:styleId="FooterChar">
    <w:name w:val="Footer Char"/>
    <w:basedOn w:val="DefaultParagraphFont"/>
    <w:link w:val="Footer"/>
    <w:uiPriority w:val="99"/>
    <w:rsid w:val="00956DDE"/>
    <w:rPr>
      <w:sz w:val="22"/>
    </w:rPr>
  </w:style>
  <w:style w:type="paragraph" w:customStyle="1" w:styleId="BodyText1">
    <w:name w:val="Body Text1"/>
    <w:basedOn w:val="Normal"/>
    <w:next w:val="BodyText"/>
    <w:link w:val="BodyTextChar"/>
    <w:uiPriority w:val="99"/>
    <w:unhideWhenUsed/>
    <w:rsid w:val="00956DDE"/>
    <w:pPr>
      <w:jc w:val="both"/>
    </w:pPr>
    <w:rPr>
      <w:rFonts w:cs="Calibri"/>
    </w:rPr>
  </w:style>
  <w:style w:type="character" w:customStyle="1" w:styleId="BodyTextChar">
    <w:name w:val="Body Text Char"/>
    <w:basedOn w:val="DefaultParagraphFont"/>
    <w:link w:val="BodyText1"/>
    <w:uiPriority w:val="99"/>
    <w:rsid w:val="00956DDE"/>
    <w:rPr>
      <w:rFonts w:cs="Calibri"/>
      <w:sz w:val="24"/>
      <w:szCs w:val="24"/>
    </w:rPr>
  </w:style>
  <w:style w:type="paragraph" w:styleId="BalloonText">
    <w:name w:val="Balloon Text"/>
    <w:basedOn w:val="Normal"/>
    <w:link w:val="BalloonTextChar"/>
    <w:uiPriority w:val="99"/>
    <w:semiHidden/>
    <w:unhideWhenUsed/>
    <w:rsid w:val="00956DDE"/>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DDE"/>
    <w:rPr>
      <w:rFonts w:ascii="Segoe UI" w:hAnsi="Segoe UI" w:cs="Segoe UI"/>
      <w:sz w:val="18"/>
      <w:szCs w:val="18"/>
    </w:rPr>
  </w:style>
  <w:style w:type="character" w:customStyle="1" w:styleId="Heading5Char">
    <w:name w:val="Heading 5 Char"/>
    <w:basedOn w:val="DefaultParagraphFont"/>
    <w:link w:val="Heading5"/>
    <w:uiPriority w:val="9"/>
    <w:rsid w:val="00956DDE"/>
    <w:rPr>
      <w:rFonts w:cs="Calibri"/>
      <w:b/>
      <w:sz w:val="24"/>
      <w:szCs w:val="24"/>
    </w:rPr>
  </w:style>
  <w:style w:type="table" w:styleId="TableGrid">
    <w:name w:val="Table Grid"/>
    <w:basedOn w:val="TableNormal"/>
    <w:uiPriority w:val="39"/>
    <w:rsid w:val="00956D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6DDE"/>
    <w:rPr>
      <w:b/>
      <w:bCs/>
    </w:rPr>
  </w:style>
  <w:style w:type="character" w:customStyle="1" w:styleId="CommentSubjectChar">
    <w:name w:val="Comment Subject Char"/>
    <w:basedOn w:val="CommentTextChar"/>
    <w:link w:val="CommentSubject"/>
    <w:uiPriority w:val="99"/>
    <w:semiHidden/>
    <w:rsid w:val="00956DDE"/>
    <w:rPr>
      <w:b/>
      <w:bCs/>
      <w:sz w:val="20"/>
      <w:szCs w:val="20"/>
    </w:rPr>
  </w:style>
  <w:style w:type="paragraph" w:customStyle="1" w:styleId="EndnoteText1">
    <w:name w:val="Endnote Text1"/>
    <w:basedOn w:val="Normal"/>
    <w:next w:val="EndnoteText"/>
    <w:link w:val="EndnoteTextChar"/>
    <w:uiPriority w:val="99"/>
    <w:semiHidden/>
    <w:unhideWhenUsed/>
    <w:rsid w:val="00956DDE"/>
    <w:pPr>
      <w:jc w:val="both"/>
    </w:pPr>
    <w:rPr>
      <w:rFonts w:eastAsia="Times New Roman"/>
      <w:bCs/>
      <w:iCs/>
      <w:sz w:val="20"/>
      <w:szCs w:val="20"/>
    </w:rPr>
  </w:style>
  <w:style w:type="character" w:customStyle="1" w:styleId="EndnoteTextChar">
    <w:name w:val="Endnote Text Char"/>
    <w:basedOn w:val="DefaultParagraphFont"/>
    <w:link w:val="EndnoteText1"/>
    <w:uiPriority w:val="99"/>
    <w:semiHidden/>
    <w:rsid w:val="00956DDE"/>
    <w:rPr>
      <w:rFonts w:eastAsia="Times New Roman"/>
      <w:bCs/>
      <w:iCs/>
      <w:sz w:val="20"/>
      <w:szCs w:val="20"/>
    </w:rPr>
  </w:style>
  <w:style w:type="character" w:styleId="EndnoteReference">
    <w:name w:val="endnote reference"/>
    <w:basedOn w:val="DefaultParagraphFont"/>
    <w:uiPriority w:val="99"/>
    <w:semiHidden/>
    <w:unhideWhenUsed/>
    <w:rsid w:val="00956DDE"/>
    <w:rPr>
      <w:vertAlign w:val="superscript"/>
    </w:rPr>
  </w:style>
  <w:style w:type="paragraph" w:styleId="NoSpacing">
    <w:name w:val="No Spacing"/>
    <w:basedOn w:val="Normal"/>
    <w:uiPriority w:val="1"/>
    <w:rsid w:val="00956DDE"/>
    <w:pPr>
      <w:spacing w:before="120" w:after="120"/>
      <w:jc w:val="both"/>
    </w:pPr>
    <w:rPr>
      <w:rFonts w:ascii="Calibri" w:eastAsia="Times New Roman" w:hAnsi="Calibri" w:cs="Times New Roman"/>
      <w:sz w:val="22"/>
      <w:szCs w:val="22"/>
    </w:rPr>
  </w:style>
  <w:style w:type="paragraph" w:styleId="Revision">
    <w:name w:val="Revision"/>
    <w:hidden/>
    <w:uiPriority w:val="99"/>
    <w:semiHidden/>
    <w:rsid w:val="00956DDE"/>
  </w:style>
  <w:style w:type="character" w:customStyle="1" w:styleId="UnresolvedMention1">
    <w:name w:val="Unresolved Mention1"/>
    <w:basedOn w:val="DefaultParagraphFont"/>
    <w:uiPriority w:val="99"/>
    <w:semiHidden/>
    <w:unhideWhenUsed/>
    <w:rsid w:val="00956DDE"/>
    <w:rPr>
      <w:color w:val="605E5C"/>
      <w:shd w:val="clear" w:color="auto" w:fill="E1DFDD"/>
    </w:rPr>
  </w:style>
  <w:style w:type="character" w:customStyle="1" w:styleId="FollowedHyperlink1">
    <w:name w:val="FollowedHyperlink1"/>
    <w:basedOn w:val="DefaultParagraphFont"/>
    <w:uiPriority w:val="99"/>
    <w:semiHidden/>
    <w:unhideWhenUsed/>
    <w:rsid w:val="00956DDE"/>
    <w:rPr>
      <w:color w:val="800080"/>
      <w:u w:val="single"/>
    </w:rPr>
  </w:style>
  <w:style w:type="paragraph" w:customStyle="1" w:styleId="Default">
    <w:name w:val="Default"/>
    <w:rsid w:val="00956DDE"/>
    <w:pPr>
      <w:autoSpaceDE w:val="0"/>
      <w:autoSpaceDN w:val="0"/>
      <w:adjustRightInd w:val="0"/>
    </w:pPr>
    <w:rPr>
      <w:rFonts w:ascii="Calibri" w:hAnsi="Calibri" w:cs="Calibri"/>
      <w:color w:val="000000"/>
    </w:rPr>
  </w:style>
  <w:style w:type="character" w:customStyle="1" w:styleId="Heading1Char1">
    <w:name w:val="Heading 1 Char1"/>
    <w:basedOn w:val="DefaultParagraphFont"/>
    <w:uiPriority w:val="9"/>
    <w:rsid w:val="00956DD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56DD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56DD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956DDE"/>
    <w:pPr>
      <w:contextualSpacing/>
    </w:pPr>
    <w:rPr>
      <w:rFonts w:ascii="Cambria" w:eastAsia="Times New Roman" w:hAnsi="Cambria" w:cs="Times New Roman"/>
      <w:bCs/>
      <w:iCs/>
      <w:color w:val="009CCE"/>
      <w:spacing w:val="5"/>
      <w:kern w:val="28"/>
      <w:sz w:val="52"/>
      <w:szCs w:val="52"/>
    </w:rPr>
  </w:style>
  <w:style w:type="character" w:customStyle="1" w:styleId="TitleChar1">
    <w:name w:val="Title Char1"/>
    <w:basedOn w:val="DefaultParagraphFont"/>
    <w:uiPriority w:val="10"/>
    <w:rsid w:val="00956DD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1"/>
    <w:uiPriority w:val="99"/>
    <w:semiHidden/>
    <w:unhideWhenUsed/>
    <w:rsid w:val="00956DDE"/>
    <w:rPr>
      <w:sz w:val="20"/>
      <w:szCs w:val="20"/>
    </w:rPr>
  </w:style>
  <w:style w:type="character" w:customStyle="1" w:styleId="FootnoteTextChar1">
    <w:name w:val="Footnote Text Char1"/>
    <w:basedOn w:val="DefaultParagraphFont"/>
    <w:link w:val="FootnoteText"/>
    <w:uiPriority w:val="99"/>
    <w:semiHidden/>
    <w:rsid w:val="00956DDE"/>
    <w:rPr>
      <w:sz w:val="20"/>
      <w:szCs w:val="20"/>
    </w:rPr>
  </w:style>
  <w:style w:type="character" w:styleId="Hyperlink">
    <w:name w:val="Hyperlink"/>
    <w:basedOn w:val="DefaultParagraphFont"/>
    <w:uiPriority w:val="99"/>
    <w:unhideWhenUsed/>
    <w:rsid w:val="00956DDE"/>
    <w:rPr>
      <w:color w:val="0563C1" w:themeColor="hyperlink"/>
      <w:u w:val="single"/>
    </w:rPr>
  </w:style>
  <w:style w:type="paragraph" w:styleId="BodyText">
    <w:name w:val="Body Text"/>
    <w:basedOn w:val="Normal"/>
    <w:link w:val="BodyTextChar1"/>
    <w:uiPriority w:val="99"/>
    <w:semiHidden/>
    <w:unhideWhenUsed/>
    <w:rsid w:val="00956DDE"/>
    <w:pPr>
      <w:spacing w:after="120"/>
    </w:pPr>
  </w:style>
  <w:style w:type="character" w:customStyle="1" w:styleId="BodyTextChar1">
    <w:name w:val="Body Text Char1"/>
    <w:basedOn w:val="DefaultParagraphFont"/>
    <w:link w:val="BodyText"/>
    <w:uiPriority w:val="99"/>
    <w:semiHidden/>
    <w:rsid w:val="00956DDE"/>
  </w:style>
  <w:style w:type="character" w:customStyle="1" w:styleId="Heading5Char1">
    <w:name w:val="Heading 5 Char1"/>
    <w:basedOn w:val="DefaultParagraphFont"/>
    <w:uiPriority w:val="9"/>
    <w:semiHidden/>
    <w:rsid w:val="00956DDE"/>
    <w:rPr>
      <w:rFonts w:asciiTheme="majorHAnsi" w:eastAsiaTheme="majorEastAsia" w:hAnsiTheme="majorHAnsi" w:cstheme="majorBidi"/>
      <w:color w:val="2F5496" w:themeColor="accent1" w:themeShade="BF"/>
    </w:rPr>
  </w:style>
  <w:style w:type="paragraph" w:styleId="EndnoteText">
    <w:name w:val="endnote text"/>
    <w:basedOn w:val="Normal"/>
    <w:link w:val="EndnoteTextChar1"/>
    <w:uiPriority w:val="99"/>
    <w:semiHidden/>
    <w:unhideWhenUsed/>
    <w:rsid w:val="00956DDE"/>
    <w:rPr>
      <w:sz w:val="20"/>
      <w:szCs w:val="20"/>
    </w:rPr>
  </w:style>
  <w:style w:type="character" w:customStyle="1" w:styleId="EndnoteTextChar1">
    <w:name w:val="Endnote Text Char1"/>
    <w:basedOn w:val="DefaultParagraphFont"/>
    <w:link w:val="EndnoteText"/>
    <w:uiPriority w:val="99"/>
    <w:semiHidden/>
    <w:rsid w:val="00956DDE"/>
    <w:rPr>
      <w:sz w:val="20"/>
      <w:szCs w:val="20"/>
    </w:rPr>
  </w:style>
  <w:style w:type="character" w:styleId="FollowedHyperlink">
    <w:name w:val="FollowedHyperlink"/>
    <w:basedOn w:val="DefaultParagraphFont"/>
    <w:uiPriority w:val="99"/>
    <w:semiHidden/>
    <w:unhideWhenUsed/>
    <w:rsid w:val="00956DDE"/>
    <w:rPr>
      <w:color w:val="954F72" w:themeColor="followedHyperlink"/>
      <w:u w:val="single"/>
    </w:rPr>
  </w:style>
  <w:style w:type="table" w:customStyle="1" w:styleId="GridTable4-Accent51">
    <w:name w:val="Grid Table 4 - Accent 51"/>
    <w:basedOn w:val="TableNormal"/>
    <w:next w:val="GridTable4-Accent5"/>
    <w:uiPriority w:val="49"/>
    <w:rsid w:val="00D6322D"/>
    <w:rPr>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5">
    <w:name w:val="Grid Table 4 Accent 5"/>
    <w:basedOn w:val="TableNormal"/>
    <w:uiPriority w:val="49"/>
    <w:rsid w:val="00D6322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F71A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468EA"/>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39"/>
    <w:rsid w:val="00CB7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256D"/>
    <w:rPr>
      <w:color w:val="605E5C"/>
      <w:shd w:val="clear" w:color="auto" w:fill="E1DFDD"/>
    </w:rPr>
  </w:style>
  <w:style w:type="character" w:styleId="Emphasis">
    <w:name w:val="Emphasis"/>
    <w:basedOn w:val="DefaultParagraphFont"/>
    <w:uiPriority w:val="20"/>
    <w:qFormat/>
    <w:rsid w:val="00652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558">
      <w:bodyDiv w:val="1"/>
      <w:marLeft w:val="0"/>
      <w:marRight w:val="0"/>
      <w:marTop w:val="0"/>
      <w:marBottom w:val="0"/>
      <w:divBdr>
        <w:top w:val="none" w:sz="0" w:space="0" w:color="auto"/>
        <w:left w:val="none" w:sz="0" w:space="0" w:color="auto"/>
        <w:bottom w:val="none" w:sz="0" w:space="0" w:color="auto"/>
        <w:right w:val="none" w:sz="0" w:space="0" w:color="auto"/>
      </w:divBdr>
    </w:div>
    <w:div w:id="11686330">
      <w:bodyDiv w:val="1"/>
      <w:marLeft w:val="0"/>
      <w:marRight w:val="0"/>
      <w:marTop w:val="0"/>
      <w:marBottom w:val="0"/>
      <w:divBdr>
        <w:top w:val="none" w:sz="0" w:space="0" w:color="auto"/>
        <w:left w:val="none" w:sz="0" w:space="0" w:color="auto"/>
        <w:bottom w:val="none" w:sz="0" w:space="0" w:color="auto"/>
        <w:right w:val="none" w:sz="0" w:space="0" w:color="auto"/>
      </w:divBdr>
    </w:div>
    <w:div w:id="17826507">
      <w:bodyDiv w:val="1"/>
      <w:marLeft w:val="0"/>
      <w:marRight w:val="0"/>
      <w:marTop w:val="0"/>
      <w:marBottom w:val="0"/>
      <w:divBdr>
        <w:top w:val="none" w:sz="0" w:space="0" w:color="auto"/>
        <w:left w:val="none" w:sz="0" w:space="0" w:color="auto"/>
        <w:bottom w:val="none" w:sz="0" w:space="0" w:color="auto"/>
        <w:right w:val="none" w:sz="0" w:space="0" w:color="auto"/>
      </w:divBdr>
    </w:div>
    <w:div w:id="38287749">
      <w:bodyDiv w:val="1"/>
      <w:marLeft w:val="0"/>
      <w:marRight w:val="0"/>
      <w:marTop w:val="0"/>
      <w:marBottom w:val="0"/>
      <w:divBdr>
        <w:top w:val="none" w:sz="0" w:space="0" w:color="auto"/>
        <w:left w:val="none" w:sz="0" w:space="0" w:color="auto"/>
        <w:bottom w:val="none" w:sz="0" w:space="0" w:color="auto"/>
        <w:right w:val="none" w:sz="0" w:space="0" w:color="auto"/>
      </w:divBdr>
    </w:div>
    <w:div w:id="83115450">
      <w:bodyDiv w:val="1"/>
      <w:marLeft w:val="0"/>
      <w:marRight w:val="0"/>
      <w:marTop w:val="0"/>
      <w:marBottom w:val="0"/>
      <w:divBdr>
        <w:top w:val="none" w:sz="0" w:space="0" w:color="auto"/>
        <w:left w:val="none" w:sz="0" w:space="0" w:color="auto"/>
        <w:bottom w:val="none" w:sz="0" w:space="0" w:color="auto"/>
        <w:right w:val="none" w:sz="0" w:space="0" w:color="auto"/>
      </w:divBdr>
    </w:div>
    <w:div w:id="101653733">
      <w:bodyDiv w:val="1"/>
      <w:marLeft w:val="0"/>
      <w:marRight w:val="0"/>
      <w:marTop w:val="0"/>
      <w:marBottom w:val="0"/>
      <w:divBdr>
        <w:top w:val="none" w:sz="0" w:space="0" w:color="auto"/>
        <w:left w:val="none" w:sz="0" w:space="0" w:color="auto"/>
        <w:bottom w:val="none" w:sz="0" w:space="0" w:color="auto"/>
        <w:right w:val="none" w:sz="0" w:space="0" w:color="auto"/>
      </w:divBdr>
    </w:div>
    <w:div w:id="107630025">
      <w:bodyDiv w:val="1"/>
      <w:marLeft w:val="0"/>
      <w:marRight w:val="0"/>
      <w:marTop w:val="0"/>
      <w:marBottom w:val="0"/>
      <w:divBdr>
        <w:top w:val="none" w:sz="0" w:space="0" w:color="auto"/>
        <w:left w:val="none" w:sz="0" w:space="0" w:color="auto"/>
        <w:bottom w:val="none" w:sz="0" w:space="0" w:color="auto"/>
        <w:right w:val="none" w:sz="0" w:space="0" w:color="auto"/>
      </w:divBdr>
    </w:div>
    <w:div w:id="143862062">
      <w:bodyDiv w:val="1"/>
      <w:marLeft w:val="0"/>
      <w:marRight w:val="0"/>
      <w:marTop w:val="0"/>
      <w:marBottom w:val="0"/>
      <w:divBdr>
        <w:top w:val="none" w:sz="0" w:space="0" w:color="auto"/>
        <w:left w:val="none" w:sz="0" w:space="0" w:color="auto"/>
        <w:bottom w:val="none" w:sz="0" w:space="0" w:color="auto"/>
        <w:right w:val="none" w:sz="0" w:space="0" w:color="auto"/>
      </w:divBdr>
    </w:div>
    <w:div w:id="156190494">
      <w:bodyDiv w:val="1"/>
      <w:marLeft w:val="0"/>
      <w:marRight w:val="0"/>
      <w:marTop w:val="0"/>
      <w:marBottom w:val="0"/>
      <w:divBdr>
        <w:top w:val="none" w:sz="0" w:space="0" w:color="auto"/>
        <w:left w:val="none" w:sz="0" w:space="0" w:color="auto"/>
        <w:bottom w:val="none" w:sz="0" w:space="0" w:color="auto"/>
        <w:right w:val="none" w:sz="0" w:space="0" w:color="auto"/>
      </w:divBdr>
    </w:div>
    <w:div w:id="194661300">
      <w:bodyDiv w:val="1"/>
      <w:marLeft w:val="0"/>
      <w:marRight w:val="0"/>
      <w:marTop w:val="0"/>
      <w:marBottom w:val="0"/>
      <w:divBdr>
        <w:top w:val="none" w:sz="0" w:space="0" w:color="auto"/>
        <w:left w:val="none" w:sz="0" w:space="0" w:color="auto"/>
        <w:bottom w:val="none" w:sz="0" w:space="0" w:color="auto"/>
        <w:right w:val="none" w:sz="0" w:space="0" w:color="auto"/>
      </w:divBdr>
      <w:divsChild>
        <w:div w:id="1014456213">
          <w:marLeft w:val="0"/>
          <w:marRight w:val="0"/>
          <w:marTop w:val="0"/>
          <w:marBottom w:val="0"/>
          <w:divBdr>
            <w:top w:val="none" w:sz="0" w:space="0" w:color="auto"/>
            <w:left w:val="none" w:sz="0" w:space="0" w:color="auto"/>
            <w:bottom w:val="none" w:sz="0" w:space="0" w:color="auto"/>
            <w:right w:val="none" w:sz="0" w:space="0" w:color="auto"/>
          </w:divBdr>
          <w:divsChild>
            <w:div w:id="824127586">
              <w:marLeft w:val="0"/>
              <w:marRight w:val="0"/>
              <w:marTop w:val="0"/>
              <w:marBottom w:val="0"/>
              <w:divBdr>
                <w:top w:val="none" w:sz="0" w:space="0" w:color="auto"/>
                <w:left w:val="none" w:sz="0" w:space="0" w:color="auto"/>
                <w:bottom w:val="none" w:sz="0" w:space="0" w:color="auto"/>
                <w:right w:val="none" w:sz="0" w:space="0" w:color="auto"/>
              </w:divBdr>
              <w:divsChild>
                <w:div w:id="2047827305">
                  <w:marLeft w:val="0"/>
                  <w:marRight w:val="0"/>
                  <w:marTop w:val="0"/>
                  <w:marBottom w:val="0"/>
                  <w:divBdr>
                    <w:top w:val="none" w:sz="0" w:space="0" w:color="auto"/>
                    <w:left w:val="none" w:sz="0" w:space="0" w:color="auto"/>
                    <w:bottom w:val="none" w:sz="0" w:space="0" w:color="auto"/>
                    <w:right w:val="none" w:sz="0" w:space="0" w:color="auto"/>
                  </w:divBdr>
                  <w:divsChild>
                    <w:div w:id="1601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730">
      <w:bodyDiv w:val="1"/>
      <w:marLeft w:val="0"/>
      <w:marRight w:val="0"/>
      <w:marTop w:val="0"/>
      <w:marBottom w:val="0"/>
      <w:divBdr>
        <w:top w:val="none" w:sz="0" w:space="0" w:color="auto"/>
        <w:left w:val="none" w:sz="0" w:space="0" w:color="auto"/>
        <w:bottom w:val="none" w:sz="0" w:space="0" w:color="auto"/>
        <w:right w:val="none" w:sz="0" w:space="0" w:color="auto"/>
      </w:divBdr>
    </w:div>
    <w:div w:id="220167646">
      <w:bodyDiv w:val="1"/>
      <w:marLeft w:val="0"/>
      <w:marRight w:val="0"/>
      <w:marTop w:val="0"/>
      <w:marBottom w:val="0"/>
      <w:divBdr>
        <w:top w:val="none" w:sz="0" w:space="0" w:color="auto"/>
        <w:left w:val="none" w:sz="0" w:space="0" w:color="auto"/>
        <w:bottom w:val="none" w:sz="0" w:space="0" w:color="auto"/>
        <w:right w:val="none" w:sz="0" w:space="0" w:color="auto"/>
      </w:divBdr>
    </w:div>
    <w:div w:id="270014621">
      <w:bodyDiv w:val="1"/>
      <w:marLeft w:val="0"/>
      <w:marRight w:val="0"/>
      <w:marTop w:val="0"/>
      <w:marBottom w:val="0"/>
      <w:divBdr>
        <w:top w:val="none" w:sz="0" w:space="0" w:color="auto"/>
        <w:left w:val="none" w:sz="0" w:space="0" w:color="auto"/>
        <w:bottom w:val="none" w:sz="0" w:space="0" w:color="auto"/>
        <w:right w:val="none" w:sz="0" w:space="0" w:color="auto"/>
      </w:divBdr>
    </w:div>
    <w:div w:id="305398777">
      <w:bodyDiv w:val="1"/>
      <w:marLeft w:val="0"/>
      <w:marRight w:val="0"/>
      <w:marTop w:val="0"/>
      <w:marBottom w:val="0"/>
      <w:divBdr>
        <w:top w:val="none" w:sz="0" w:space="0" w:color="auto"/>
        <w:left w:val="none" w:sz="0" w:space="0" w:color="auto"/>
        <w:bottom w:val="none" w:sz="0" w:space="0" w:color="auto"/>
        <w:right w:val="none" w:sz="0" w:space="0" w:color="auto"/>
      </w:divBdr>
    </w:div>
    <w:div w:id="337582912">
      <w:bodyDiv w:val="1"/>
      <w:marLeft w:val="0"/>
      <w:marRight w:val="0"/>
      <w:marTop w:val="0"/>
      <w:marBottom w:val="0"/>
      <w:divBdr>
        <w:top w:val="none" w:sz="0" w:space="0" w:color="auto"/>
        <w:left w:val="none" w:sz="0" w:space="0" w:color="auto"/>
        <w:bottom w:val="none" w:sz="0" w:space="0" w:color="auto"/>
        <w:right w:val="none" w:sz="0" w:space="0" w:color="auto"/>
      </w:divBdr>
    </w:div>
    <w:div w:id="382560155">
      <w:bodyDiv w:val="1"/>
      <w:marLeft w:val="0"/>
      <w:marRight w:val="0"/>
      <w:marTop w:val="0"/>
      <w:marBottom w:val="0"/>
      <w:divBdr>
        <w:top w:val="none" w:sz="0" w:space="0" w:color="auto"/>
        <w:left w:val="none" w:sz="0" w:space="0" w:color="auto"/>
        <w:bottom w:val="none" w:sz="0" w:space="0" w:color="auto"/>
        <w:right w:val="none" w:sz="0" w:space="0" w:color="auto"/>
      </w:divBdr>
    </w:div>
    <w:div w:id="393937735">
      <w:bodyDiv w:val="1"/>
      <w:marLeft w:val="0"/>
      <w:marRight w:val="0"/>
      <w:marTop w:val="0"/>
      <w:marBottom w:val="0"/>
      <w:divBdr>
        <w:top w:val="none" w:sz="0" w:space="0" w:color="auto"/>
        <w:left w:val="none" w:sz="0" w:space="0" w:color="auto"/>
        <w:bottom w:val="none" w:sz="0" w:space="0" w:color="auto"/>
        <w:right w:val="none" w:sz="0" w:space="0" w:color="auto"/>
      </w:divBdr>
    </w:div>
    <w:div w:id="501547062">
      <w:bodyDiv w:val="1"/>
      <w:marLeft w:val="0"/>
      <w:marRight w:val="0"/>
      <w:marTop w:val="0"/>
      <w:marBottom w:val="0"/>
      <w:divBdr>
        <w:top w:val="none" w:sz="0" w:space="0" w:color="auto"/>
        <w:left w:val="none" w:sz="0" w:space="0" w:color="auto"/>
        <w:bottom w:val="none" w:sz="0" w:space="0" w:color="auto"/>
        <w:right w:val="none" w:sz="0" w:space="0" w:color="auto"/>
      </w:divBdr>
    </w:div>
    <w:div w:id="506943721">
      <w:bodyDiv w:val="1"/>
      <w:marLeft w:val="0"/>
      <w:marRight w:val="0"/>
      <w:marTop w:val="0"/>
      <w:marBottom w:val="0"/>
      <w:divBdr>
        <w:top w:val="none" w:sz="0" w:space="0" w:color="auto"/>
        <w:left w:val="none" w:sz="0" w:space="0" w:color="auto"/>
        <w:bottom w:val="none" w:sz="0" w:space="0" w:color="auto"/>
        <w:right w:val="none" w:sz="0" w:space="0" w:color="auto"/>
      </w:divBdr>
    </w:div>
    <w:div w:id="523176190">
      <w:bodyDiv w:val="1"/>
      <w:marLeft w:val="0"/>
      <w:marRight w:val="0"/>
      <w:marTop w:val="0"/>
      <w:marBottom w:val="0"/>
      <w:divBdr>
        <w:top w:val="none" w:sz="0" w:space="0" w:color="auto"/>
        <w:left w:val="none" w:sz="0" w:space="0" w:color="auto"/>
        <w:bottom w:val="none" w:sz="0" w:space="0" w:color="auto"/>
        <w:right w:val="none" w:sz="0" w:space="0" w:color="auto"/>
      </w:divBdr>
    </w:div>
    <w:div w:id="523787616">
      <w:bodyDiv w:val="1"/>
      <w:marLeft w:val="0"/>
      <w:marRight w:val="0"/>
      <w:marTop w:val="0"/>
      <w:marBottom w:val="0"/>
      <w:divBdr>
        <w:top w:val="none" w:sz="0" w:space="0" w:color="auto"/>
        <w:left w:val="none" w:sz="0" w:space="0" w:color="auto"/>
        <w:bottom w:val="none" w:sz="0" w:space="0" w:color="auto"/>
        <w:right w:val="none" w:sz="0" w:space="0" w:color="auto"/>
      </w:divBdr>
    </w:div>
    <w:div w:id="537665362">
      <w:bodyDiv w:val="1"/>
      <w:marLeft w:val="0"/>
      <w:marRight w:val="0"/>
      <w:marTop w:val="0"/>
      <w:marBottom w:val="0"/>
      <w:divBdr>
        <w:top w:val="none" w:sz="0" w:space="0" w:color="auto"/>
        <w:left w:val="none" w:sz="0" w:space="0" w:color="auto"/>
        <w:bottom w:val="none" w:sz="0" w:space="0" w:color="auto"/>
        <w:right w:val="none" w:sz="0" w:space="0" w:color="auto"/>
      </w:divBdr>
    </w:div>
    <w:div w:id="544175518">
      <w:bodyDiv w:val="1"/>
      <w:marLeft w:val="0"/>
      <w:marRight w:val="0"/>
      <w:marTop w:val="0"/>
      <w:marBottom w:val="0"/>
      <w:divBdr>
        <w:top w:val="none" w:sz="0" w:space="0" w:color="auto"/>
        <w:left w:val="none" w:sz="0" w:space="0" w:color="auto"/>
        <w:bottom w:val="none" w:sz="0" w:space="0" w:color="auto"/>
        <w:right w:val="none" w:sz="0" w:space="0" w:color="auto"/>
      </w:divBdr>
    </w:div>
    <w:div w:id="575282073">
      <w:bodyDiv w:val="1"/>
      <w:marLeft w:val="0"/>
      <w:marRight w:val="0"/>
      <w:marTop w:val="0"/>
      <w:marBottom w:val="0"/>
      <w:divBdr>
        <w:top w:val="none" w:sz="0" w:space="0" w:color="auto"/>
        <w:left w:val="none" w:sz="0" w:space="0" w:color="auto"/>
        <w:bottom w:val="none" w:sz="0" w:space="0" w:color="auto"/>
        <w:right w:val="none" w:sz="0" w:space="0" w:color="auto"/>
      </w:divBdr>
    </w:div>
    <w:div w:id="613630893">
      <w:bodyDiv w:val="1"/>
      <w:marLeft w:val="0"/>
      <w:marRight w:val="0"/>
      <w:marTop w:val="0"/>
      <w:marBottom w:val="0"/>
      <w:divBdr>
        <w:top w:val="none" w:sz="0" w:space="0" w:color="auto"/>
        <w:left w:val="none" w:sz="0" w:space="0" w:color="auto"/>
        <w:bottom w:val="none" w:sz="0" w:space="0" w:color="auto"/>
        <w:right w:val="none" w:sz="0" w:space="0" w:color="auto"/>
      </w:divBdr>
    </w:div>
    <w:div w:id="616907422">
      <w:bodyDiv w:val="1"/>
      <w:marLeft w:val="0"/>
      <w:marRight w:val="0"/>
      <w:marTop w:val="0"/>
      <w:marBottom w:val="0"/>
      <w:divBdr>
        <w:top w:val="none" w:sz="0" w:space="0" w:color="auto"/>
        <w:left w:val="none" w:sz="0" w:space="0" w:color="auto"/>
        <w:bottom w:val="none" w:sz="0" w:space="0" w:color="auto"/>
        <w:right w:val="none" w:sz="0" w:space="0" w:color="auto"/>
      </w:divBdr>
    </w:div>
    <w:div w:id="650333403">
      <w:bodyDiv w:val="1"/>
      <w:marLeft w:val="0"/>
      <w:marRight w:val="0"/>
      <w:marTop w:val="0"/>
      <w:marBottom w:val="0"/>
      <w:divBdr>
        <w:top w:val="none" w:sz="0" w:space="0" w:color="auto"/>
        <w:left w:val="none" w:sz="0" w:space="0" w:color="auto"/>
        <w:bottom w:val="none" w:sz="0" w:space="0" w:color="auto"/>
        <w:right w:val="none" w:sz="0" w:space="0" w:color="auto"/>
      </w:divBdr>
    </w:div>
    <w:div w:id="673336237">
      <w:bodyDiv w:val="1"/>
      <w:marLeft w:val="0"/>
      <w:marRight w:val="0"/>
      <w:marTop w:val="0"/>
      <w:marBottom w:val="0"/>
      <w:divBdr>
        <w:top w:val="none" w:sz="0" w:space="0" w:color="auto"/>
        <w:left w:val="none" w:sz="0" w:space="0" w:color="auto"/>
        <w:bottom w:val="none" w:sz="0" w:space="0" w:color="auto"/>
        <w:right w:val="none" w:sz="0" w:space="0" w:color="auto"/>
      </w:divBdr>
    </w:div>
    <w:div w:id="739180652">
      <w:bodyDiv w:val="1"/>
      <w:marLeft w:val="0"/>
      <w:marRight w:val="0"/>
      <w:marTop w:val="0"/>
      <w:marBottom w:val="0"/>
      <w:divBdr>
        <w:top w:val="none" w:sz="0" w:space="0" w:color="auto"/>
        <w:left w:val="none" w:sz="0" w:space="0" w:color="auto"/>
        <w:bottom w:val="none" w:sz="0" w:space="0" w:color="auto"/>
        <w:right w:val="none" w:sz="0" w:space="0" w:color="auto"/>
      </w:divBdr>
    </w:div>
    <w:div w:id="762068808">
      <w:bodyDiv w:val="1"/>
      <w:marLeft w:val="0"/>
      <w:marRight w:val="0"/>
      <w:marTop w:val="0"/>
      <w:marBottom w:val="0"/>
      <w:divBdr>
        <w:top w:val="none" w:sz="0" w:space="0" w:color="auto"/>
        <w:left w:val="none" w:sz="0" w:space="0" w:color="auto"/>
        <w:bottom w:val="none" w:sz="0" w:space="0" w:color="auto"/>
        <w:right w:val="none" w:sz="0" w:space="0" w:color="auto"/>
      </w:divBdr>
    </w:div>
    <w:div w:id="802503046">
      <w:bodyDiv w:val="1"/>
      <w:marLeft w:val="0"/>
      <w:marRight w:val="0"/>
      <w:marTop w:val="0"/>
      <w:marBottom w:val="0"/>
      <w:divBdr>
        <w:top w:val="none" w:sz="0" w:space="0" w:color="auto"/>
        <w:left w:val="none" w:sz="0" w:space="0" w:color="auto"/>
        <w:bottom w:val="none" w:sz="0" w:space="0" w:color="auto"/>
        <w:right w:val="none" w:sz="0" w:space="0" w:color="auto"/>
      </w:divBdr>
    </w:div>
    <w:div w:id="931470416">
      <w:bodyDiv w:val="1"/>
      <w:marLeft w:val="0"/>
      <w:marRight w:val="0"/>
      <w:marTop w:val="0"/>
      <w:marBottom w:val="0"/>
      <w:divBdr>
        <w:top w:val="none" w:sz="0" w:space="0" w:color="auto"/>
        <w:left w:val="none" w:sz="0" w:space="0" w:color="auto"/>
        <w:bottom w:val="none" w:sz="0" w:space="0" w:color="auto"/>
        <w:right w:val="none" w:sz="0" w:space="0" w:color="auto"/>
      </w:divBdr>
    </w:div>
    <w:div w:id="934435389">
      <w:bodyDiv w:val="1"/>
      <w:marLeft w:val="0"/>
      <w:marRight w:val="0"/>
      <w:marTop w:val="0"/>
      <w:marBottom w:val="0"/>
      <w:divBdr>
        <w:top w:val="none" w:sz="0" w:space="0" w:color="auto"/>
        <w:left w:val="none" w:sz="0" w:space="0" w:color="auto"/>
        <w:bottom w:val="none" w:sz="0" w:space="0" w:color="auto"/>
        <w:right w:val="none" w:sz="0" w:space="0" w:color="auto"/>
      </w:divBdr>
    </w:div>
    <w:div w:id="943725882">
      <w:bodyDiv w:val="1"/>
      <w:marLeft w:val="0"/>
      <w:marRight w:val="0"/>
      <w:marTop w:val="0"/>
      <w:marBottom w:val="0"/>
      <w:divBdr>
        <w:top w:val="none" w:sz="0" w:space="0" w:color="auto"/>
        <w:left w:val="none" w:sz="0" w:space="0" w:color="auto"/>
        <w:bottom w:val="none" w:sz="0" w:space="0" w:color="auto"/>
        <w:right w:val="none" w:sz="0" w:space="0" w:color="auto"/>
      </w:divBdr>
    </w:div>
    <w:div w:id="946276887">
      <w:bodyDiv w:val="1"/>
      <w:marLeft w:val="0"/>
      <w:marRight w:val="0"/>
      <w:marTop w:val="0"/>
      <w:marBottom w:val="0"/>
      <w:divBdr>
        <w:top w:val="none" w:sz="0" w:space="0" w:color="auto"/>
        <w:left w:val="none" w:sz="0" w:space="0" w:color="auto"/>
        <w:bottom w:val="none" w:sz="0" w:space="0" w:color="auto"/>
        <w:right w:val="none" w:sz="0" w:space="0" w:color="auto"/>
      </w:divBdr>
    </w:div>
    <w:div w:id="961962525">
      <w:bodyDiv w:val="1"/>
      <w:marLeft w:val="0"/>
      <w:marRight w:val="0"/>
      <w:marTop w:val="0"/>
      <w:marBottom w:val="0"/>
      <w:divBdr>
        <w:top w:val="none" w:sz="0" w:space="0" w:color="auto"/>
        <w:left w:val="none" w:sz="0" w:space="0" w:color="auto"/>
        <w:bottom w:val="none" w:sz="0" w:space="0" w:color="auto"/>
        <w:right w:val="none" w:sz="0" w:space="0" w:color="auto"/>
      </w:divBdr>
    </w:div>
    <w:div w:id="1063675064">
      <w:bodyDiv w:val="1"/>
      <w:marLeft w:val="0"/>
      <w:marRight w:val="0"/>
      <w:marTop w:val="0"/>
      <w:marBottom w:val="0"/>
      <w:divBdr>
        <w:top w:val="none" w:sz="0" w:space="0" w:color="auto"/>
        <w:left w:val="none" w:sz="0" w:space="0" w:color="auto"/>
        <w:bottom w:val="none" w:sz="0" w:space="0" w:color="auto"/>
        <w:right w:val="none" w:sz="0" w:space="0" w:color="auto"/>
      </w:divBdr>
    </w:div>
    <w:div w:id="1080951300">
      <w:bodyDiv w:val="1"/>
      <w:marLeft w:val="0"/>
      <w:marRight w:val="0"/>
      <w:marTop w:val="0"/>
      <w:marBottom w:val="0"/>
      <w:divBdr>
        <w:top w:val="none" w:sz="0" w:space="0" w:color="auto"/>
        <w:left w:val="none" w:sz="0" w:space="0" w:color="auto"/>
        <w:bottom w:val="none" w:sz="0" w:space="0" w:color="auto"/>
        <w:right w:val="none" w:sz="0" w:space="0" w:color="auto"/>
      </w:divBdr>
    </w:div>
    <w:div w:id="1104807522">
      <w:bodyDiv w:val="1"/>
      <w:marLeft w:val="0"/>
      <w:marRight w:val="0"/>
      <w:marTop w:val="0"/>
      <w:marBottom w:val="0"/>
      <w:divBdr>
        <w:top w:val="none" w:sz="0" w:space="0" w:color="auto"/>
        <w:left w:val="none" w:sz="0" w:space="0" w:color="auto"/>
        <w:bottom w:val="none" w:sz="0" w:space="0" w:color="auto"/>
        <w:right w:val="none" w:sz="0" w:space="0" w:color="auto"/>
      </w:divBdr>
    </w:div>
    <w:div w:id="1135414788">
      <w:bodyDiv w:val="1"/>
      <w:marLeft w:val="0"/>
      <w:marRight w:val="0"/>
      <w:marTop w:val="0"/>
      <w:marBottom w:val="0"/>
      <w:divBdr>
        <w:top w:val="none" w:sz="0" w:space="0" w:color="auto"/>
        <w:left w:val="none" w:sz="0" w:space="0" w:color="auto"/>
        <w:bottom w:val="none" w:sz="0" w:space="0" w:color="auto"/>
        <w:right w:val="none" w:sz="0" w:space="0" w:color="auto"/>
      </w:divBdr>
    </w:div>
    <w:div w:id="1169128353">
      <w:bodyDiv w:val="1"/>
      <w:marLeft w:val="0"/>
      <w:marRight w:val="0"/>
      <w:marTop w:val="0"/>
      <w:marBottom w:val="0"/>
      <w:divBdr>
        <w:top w:val="none" w:sz="0" w:space="0" w:color="auto"/>
        <w:left w:val="none" w:sz="0" w:space="0" w:color="auto"/>
        <w:bottom w:val="none" w:sz="0" w:space="0" w:color="auto"/>
        <w:right w:val="none" w:sz="0" w:space="0" w:color="auto"/>
      </w:divBdr>
    </w:div>
    <w:div w:id="1182014228">
      <w:bodyDiv w:val="1"/>
      <w:marLeft w:val="0"/>
      <w:marRight w:val="0"/>
      <w:marTop w:val="0"/>
      <w:marBottom w:val="0"/>
      <w:divBdr>
        <w:top w:val="none" w:sz="0" w:space="0" w:color="auto"/>
        <w:left w:val="none" w:sz="0" w:space="0" w:color="auto"/>
        <w:bottom w:val="none" w:sz="0" w:space="0" w:color="auto"/>
        <w:right w:val="none" w:sz="0" w:space="0" w:color="auto"/>
      </w:divBdr>
    </w:div>
    <w:div w:id="1212351499">
      <w:bodyDiv w:val="1"/>
      <w:marLeft w:val="0"/>
      <w:marRight w:val="0"/>
      <w:marTop w:val="0"/>
      <w:marBottom w:val="0"/>
      <w:divBdr>
        <w:top w:val="none" w:sz="0" w:space="0" w:color="auto"/>
        <w:left w:val="none" w:sz="0" w:space="0" w:color="auto"/>
        <w:bottom w:val="none" w:sz="0" w:space="0" w:color="auto"/>
        <w:right w:val="none" w:sz="0" w:space="0" w:color="auto"/>
      </w:divBdr>
    </w:div>
    <w:div w:id="1222861403">
      <w:bodyDiv w:val="1"/>
      <w:marLeft w:val="0"/>
      <w:marRight w:val="0"/>
      <w:marTop w:val="0"/>
      <w:marBottom w:val="0"/>
      <w:divBdr>
        <w:top w:val="none" w:sz="0" w:space="0" w:color="auto"/>
        <w:left w:val="none" w:sz="0" w:space="0" w:color="auto"/>
        <w:bottom w:val="none" w:sz="0" w:space="0" w:color="auto"/>
        <w:right w:val="none" w:sz="0" w:space="0" w:color="auto"/>
      </w:divBdr>
    </w:div>
    <w:div w:id="1287808120">
      <w:bodyDiv w:val="1"/>
      <w:marLeft w:val="0"/>
      <w:marRight w:val="0"/>
      <w:marTop w:val="0"/>
      <w:marBottom w:val="0"/>
      <w:divBdr>
        <w:top w:val="none" w:sz="0" w:space="0" w:color="auto"/>
        <w:left w:val="none" w:sz="0" w:space="0" w:color="auto"/>
        <w:bottom w:val="none" w:sz="0" w:space="0" w:color="auto"/>
        <w:right w:val="none" w:sz="0" w:space="0" w:color="auto"/>
      </w:divBdr>
    </w:div>
    <w:div w:id="1309165393">
      <w:bodyDiv w:val="1"/>
      <w:marLeft w:val="0"/>
      <w:marRight w:val="0"/>
      <w:marTop w:val="0"/>
      <w:marBottom w:val="0"/>
      <w:divBdr>
        <w:top w:val="none" w:sz="0" w:space="0" w:color="auto"/>
        <w:left w:val="none" w:sz="0" w:space="0" w:color="auto"/>
        <w:bottom w:val="none" w:sz="0" w:space="0" w:color="auto"/>
        <w:right w:val="none" w:sz="0" w:space="0" w:color="auto"/>
      </w:divBdr>
    </w:div>
    <w:div w:id="1315986710">
      <w:bodyDiv w:val="1"/>
      <w:marLeft w:val="0"/>
      <w:marRight w:val="0"/>
      <w:marTop w:val="0"/>
      <w:marBottom w:val="0"/>
      <w:divBdr>
        <w:top w:val="none" w:sz="0" w:space="0" w:color="auto"/>
        <w:left w:val="none" w:sz="0" w:space="0" w:color="auto"/>
        <w:bottom w:val="none" w:sz="0" w:space="0" w:color="auto"/>
        <w:right w:val="none" w:sz="0" w:space="0" w:color="auto"/>
      </w:divBdr>
    </w:div>
    <w:div w:id="1342204078">
      <w:bodyDiv w:val="1"/>
      <w:marLeft w:val="0"/>
      <w:marRight w:val="0"/>
      <w:marTop w:val="0"/>
      <w:marBottom w:val="0"/>
      <w:divBdr>
        <w:top w:val="none" w:sz="0" w:space="0" w:color="auto"/>
        <w:left w:val="none" w:sz="0" w:space="0" w:color="auto"/>
        <w:bottom w:val="none" w:sz="0" w:space="0" w:color="auto"/>
        <w:right w:val="none" w:sz="0" w:space="0" w:color="auto"/>
      </w:divBdr>
    </w:div>
    <w:div w:id="1390223594">
      <w:bodyDiv w:val="1"/>
      <w:marLeft w:val="0"/>
      <w:marRight w:val="0"/>
      <w:marTop w:val="0"/>
      <w:marBottom w:val="0"/>
      <w:divBdr>
        <w:top w:val="none" w:sz="0" w:space="0" w:color="auto"/>
        <w:left w:val="none" w:sz="0" w:space="0" w:color="auto"/>
        <w:bottom w:val="none" w:sz="0" w:space="0" w:color="auto"/>
        <w:right w:val="none" w:sz="0" w:space="0" w:color="auto"/>
      </w:divBdr>
    </w:div>
    <w:div w:id="1407193072">
      <w:bodyDiv w:val="1"/>
      <w:marLeft w:val="0"/>
      <w:marRight w:val="0"/>
      <w:marTop w:val="0"/>
      <w:marBottom w:val="0"/>
      <w:divBdr>
        <w:top w:val="none" w:sz="0" w:space="0" w:color="auto"/>
        <w:left w:val="none" w:sz="0" w:space="0" w:color="auto"/>
        <w:bottom w:val="none" w:sz="0" w:space="0" w:color="auto"/>
        <w:right w:val="none" w:sz="0" w:space="0" w:color="auto"/>
      </w:divBdr>
    </w:div>
    <w:div w:id="1471940936">
      <w:bodyDiv w:val="1"/>
      <w:marLeft w:val="0"/>
      <w:marRight w:val="0"/>
      <w:marTop w:val="0"/>
      <w:marBottom w:val="0"/>
      <w:divBdr>
        <w:top w:val="none" w:sz="0" w:space="0" w:color="auto"/>
        <w:left w:val="none" w:sz="0" w:space="0" w:color="auto"/>
        <w:bottom w:val="none" w:sz="0" w:space="0" w:color="auto"/>
        <w:right w:val="none" w:sz="0" w:space="0" w:color="auto"/>
      </w:divBdr>
    </w:div>
    <w:div w:id="1504515464">
      <w:bodyDiv w:val="1"/>
      <w:marLeft w:val="0"/>
      <w:marRight w:val="0"/>
      <w:marTop w:val="0"/>
      <w:marBottom w:val="0"/>
      <w:divBdr>
        <w:top w:val="none" w:sz="0" w:space="0" w:color="auto"/>
        <w:left w:val="none" w:sz="0" w:space="0" w:color="auto"/>
        <w:bottom w:val="none" w:sz="0" w:space="0" w:color="auto"/>
        <w:right w:val="none" w:sz="0" w:space="0" w:color="auto"/>
      </w:divBdr>
    </w:div>
    <w:div w:id="1505315877">
      <w:bodyDiv w:val="1"/>
      <w:marLeft w:val="0"/>
      <w:marRight w:val="0"/>
      <w:marTop w:val="0"/>
      <w:marBottom w:val="0"/>
      <w:divBdr>
        <w:top w:val="none" w:sz="0" w:space="0" w:color="auto"/>
        <w:left w:val="none" w:sz="0" w:space="0" w:color="auto"/>
        <w:bottom w:val="none" w:sz="0" w:space="0" w:color="auto"/>
        <w:right w:val="none" w:sz="0" w:space="0" w:color="auto"/>
      </w:divBdr>
    </w:div>
    <w:div w:id="1524319788">
      <w:bodyDiv w:val="1"/>
      <w:marLeft w:val="0"/>
      <w:marRight w:val="0"/>
      <w:marTop w:val="0"/>
      <w:marBottom w:val="0"/>
      <w:divBdr>
        <w:top w:val="none" w:sz="0" w:space="0" w:color="auto"/>
        <w:left w:val="none" w:sz="0" w:space="0" w:color="auto"/>
        <w:bottom w:val="none" w:sz="0" w:space="0" w:color="auto"/>
        <w:right w:val="none" w:sz="0" w:space="0" w:color="auto"/>
      </w:divBdr>
    </w:div>
    <w:div w:id="1525706075">
      <w:bodyDiv w:val="1"/>
      <w:marLeft w:val="0"/>
      <w:marRight w:val="0"/>
      <w:marTop w:val="0"/>
      <w:marBottom w:val="0"/>
      <w:divBdr>
        <w:top w:val="none" w:sz="0" w:space="0" w:color="auto"/>
        <w:left w:val="none" w:sz="0" w:space="0" w:color="auto"/>
        <w:bottom w:val="none" w:sz="0" w:space="0" w:color="auto"/>
        <w:right w:val="none" w:sz="0" w:space="0" w:color="auto"/>
      </w:divBdr>
    </w:div>
    <w:div w:id="1530679635">
      <w:bodyDiv w:val="1"/>
      <w:marLeft w:val="0"/>
      <w:marRight w:val="0"/>
      <w:marTop w:val="0"/>
      <w:marBottom w:val="0"/>
      <w:divBdr>
        <w:top w:val="none" w:sz="0" w:space="0" w:color="auto"/>
        <w:left w:val="none" w:sz="0" w:space="0" w:color="auto"/>
        <w:bottom w:val="none" w:sz="0" w:space="0" w:color="auto"/>
        <w:right w:val="none" w:sz="0" w:space="0" w:color="auto"/>
      </w:divBdr>
    </w:div>
    <w:div w:id="1572813374">
      <w:bodyDiv w:val="1"/>
      <w:marLeft w:val="0"/>
      <w:marRight w:val="0"/>
      <w:marTop w:val="0"/>
      <w:marBottom w:val="0"/>
      <w:divBdr>
        <w:top w:val="none" w:sz="0" w:space="0" w:color="auto"/>
        <w:left w:val="none" w:sz="0" w:space="0" w:color="auto"/>
        <w:bottom w:val="none" w:sz="0" w:space="0" w:color="auto"/>
        <w:right w:val="none" w:sz="0" w:space="0" w:color="auto"/>
      </w:divBdr>
    </w:div>
    <w:div w:id="1579902137">
      <w:bodyDiv w:val="1"/>
      <w:marLeft w:val="0"/>
      <w:marRight w:val="0"/>
      <w:marTop w:val="0"/>
      <w:marBottom w:val="0"/>
      <w:divBdr>
        <w:top w:val="none" w:sz="0" w:space="0" w:color="auto"/>
        <w:left w:val="none" w:sz="0" w:space="0" w:color="auto"/>
        <w:bottom w:val="none" w:sz="0" w:space="0" w:color="auto"/>
        <w:right w:val="none" w:sz="0" w:space="0" w:color="auto"/>
      </w:divBdr>
    </w:div>
    <w:div w:id="1603418203">
      <w:bodyDiv w:val="1"/>
      <w:marLeft w:val="0"/>
      <w:marRight w:val="0"/>
      <w:marTop w:val="0"/>
      <w:marBottom w:val="0"/>
      <w:divBdr>
        <w:top w:val="none" w:sz="0" w:space="0" w:color="auto"/>
        <w:left w:val="none" w:sz="0" w:space="0" w:color="auto"/>
        <w:bottom w:val="none" w:sz="0" w:space="0" w:color="auto"/>
        <w:right w:val="none" w:sz="0" w:space="0" w:color="auto"/>
      </w:divBdr>
    </w:div>
    <w:div w:id="1661696462">
      <w:bodyDiv w:val="1"/>
      <w:marLeft w:val="0"/>
      <w:marRight w:val="0"/>
      <w:marTop w:val="0"/>
      <w:marBottom w:val="0"/>
      <w:divBdr>
        <w:top w:val="none" w:sz="0" w:space="0" w:color="auto"/>
        <w:left w:val="none" w:sz="0" w:space="0" w:color="auto"/>
        <w:bottom w:val="none" w:sz="0" w:space="0" w:color="auto"/>
        <w:right w:val="none" w:sz="0" w:space="0" w:color="auto"/>
      </w:divBdr>
      <w:divsChild>
        <w:div w:id="1485122005">
          <w:marLeft w:val="0"/>
          <w:marRight w:val="0"/>
          <w:marTop w:val="0"/>
          <w:marBottom w:val="0"/>
          <w:divBdr>
            <w:top w:val="none" w:sz="0" w:space="0" w:color="auto"/>
            <w:left w:val="none" w:sz="0" w:space="0" w:color="auto"/>
            <w:bottom w:val="none" w:sz="0" w:space="0" w:color="auto"/>
            <w:right w:val="none" w:sz="0" w:space="0" w:color="auto"/>
          </w:divBdr>
          <w:divsChild>
            <w:div w:id="1424035435">
              <w:marLeft w:val="0"/>
              <w:marRight w:val="0"/>
              <w:marTop w:val="0"/>
              <w:marBottom w:val="0"/>
              <w:divBdr>
                <w:top w:val="none" w:sz="0" w:space="0" w:color="auto"/>
                <w:left w:val="none" w:sz="0" w:space="0" w:color="auto"/>
                <w:bottom w:val="none" w:sz="0" w:space="0" w:color="auto"/>
                <w:right w:val="none" w:sz="0" w:space="0" w:color="auto"/>
              </w:divBdr>
              <w:divsChild>
                <w:div w:id="505707711">
                  <w:marLeft w:val="0"/>
                  <w:marRight w:val="0"/>
                  <w:marTop w:val="0"/>
                  <w:marBottom w:val="0"/>
                  <w:divBdr>
                    <w:top w:val="none" w:sz="0" w:space="0" w:color="auto"/>
                    <w:left w:val="none" w:sz="0" w:space="0" w:color="auto"/>
                    <w:bottom w:val="none" w:sz="0" w:space="0" w:color="auto"/>
                    <w:right w:val="none" w:sz="0" w:space="0" w:color="auto"/>
                  </w:divBdr>
                </w:div>
              </w:divsChild>
            </w:div>
            <w:div w:id="2038891883">
              <w:marLeft w:val="0"/>
              <w:marRight w:val="0"/>
              <w:marTop w:val="0"/>
              <w:marBottom w:val="0"/>
              <w:divBdr>
                <w:top w:val="none" w:sz="0" w:space="0" w:color="auto"/>
                <w:left w:val="none" w:sz="0" w:space="0" w:color="auto"/>
                <w:bottom w:val="none" w:sz="0" w:space="0" w:color="auto"/>
                <w:right w:val="none" w:sz="0" w:space="0" w:color="auto"/>
              </w:divBdr>
              <w:divsChild>
                <w:div w:id="7986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767">
          <w:marLeft w:val="0"/>
          <w:marRight w:val="0"/>
          <w:marTop w:val="0"/>
          <w:marBottom w:val="0"/>
          <w:divBdr>
            <w:top w:val="none" w:sz="0" w:space="0" w:color="auto"/>
            <w:left w:val="none" w:sz="0" w:space="0" w:color="auto"/>
            <w:bottom w:val="none" w:sz="0" w:space="0" w:color="auto"/>
            <w:right w:val="none" w:sz="0" w:space="0" w:color="auto"/>
          </w:divBdr>
          <w:divsChild>
            <w:div w:id="984814456">
              <w:marLeft w:val="0"/>
              <w:marRight w:val="0"/>
              <w:marTop w:val="0"/>
              <w:marBottom w:val="0"/>
              <w:divBdr>
                <w:top w:val="none" w:sz="0" w:space="0" w:color="auto"/>
                <w:left w:val="none" w:sz="0" w:space="0" w:color="auto"/>
                <w:bottom w:val="none" w:sz="0" w:space="0" w:color="auto"/>
                <w:right w:val="none" w:sz="0" w:space="0" w:color="auto"/>
              </w:divBdr>
              <w:divsChild>
                <w:div w:id="10511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9837">
      <w:bodyDiv w:val="1"/>
      <w:marLeft w:val="0"/>
      <w:marRight w:val="0"/>
      <w:marTop w:val="0"/>
      <w:marBottom w:val="0"/>
      <w:divBdr>
        <w:top w:val="none" w:sz="0" w:space="0" w:color="auto"/>
        <w:left w:val="none" w:sz="0" w:space="0" w:color="auto"/>
        <w:bottom w:val="none" w:sz="0" w:space="0" w:color="auto"/>
        <w:right w:val="none" w:sz="0" w:space="0" w:color="auto"/>
      </w:divBdr>
    </w:div>
    <w:div w:id="1880430448">
      <w:bodyDiv w:val="1"/>
      <w:marLeft w:val="0"/>
      <w:marRight w:val="0"/>
      <w:marTop w:val="0"/>
      <w:marBottom w:val="0"/>
      <w:divBdr>
        <w:top w:val="none" w:sz="0" w:space="0" w:color="auto"/>
        <w:left w:val="none" w:sz="0" w:space="0" w:color="auto"/>
        <w:bottom w:val="none" w:sz="0" w:space="0" w:color="auto"/>
        <w:right w:val="none" w:sz="0" w:space="0" w:color="auto"/>
      </w:divBdr>
      <w:divsChild>
        <w:div w:id="1686517880">
          <w:marLeft w:val="0"/>
          <w:marRight w:val="0"/>
          <w:marTop w:val="0"/>
          <w:marBottom w:val="0"/>
          <w:divBdr>
            <w:top w:val="none" w:sz="0" w:space="0" w:color="auto"/>
            <w:left w:val="none" w:sz="0" w:space="0" w:color="auto"/>
            <w:bottom w:val="none" w:sz="0" w:space="0" w:color="auto"/>
            <w:right w:val="none" w:sz="0" w:space="0" w:color="auto"/>
          </w:divBdr>
          <w:divsChild>
            <w:div w:id="1456874027">
              <w:marLeft w:val="0"/>
              <w:marRight w:val="0"/>
              <w:marTop w:val="0"/>
              <w:marBottom w:val="0"/>
              <w:divBdr>
                <w:top w:val="none" w:sz="0" w:space="0" w:color="auto"/>
                <w:left w:val="none" w:sz="0" w:space="0" w:color="auto"/>
                <w:bottom w:val="none" w:sz="0" w:space="0" w:color="auto"/>
                <w:right w:val="none" w:sz="0" w:space="0" w:color="auto"/>
              </w:divBdr>
              <w:divsChild>
                <w:div w:id="827794954">
                  <w:marLeft w:val="0"/>
                  <w:marRight w:val="0"/>
                  <w:marTop w:val="0"/>
                  <w:marBottom w:val="0"/>
                  <w:divBdr>
                    <w:top w:val="none" w:sz="0" w:space="0" w:color="auto"/>
                    <w:left w:val="none" w:sz="0" w:space="0" w:color="auto"/>
                    <w:bottom w:val="none" w:sz="0" w:space="0" w:color="auto"/>
                    <w:right w:val="none" w:sz="0" w:space="0" w:color="auto"/>
                  </w:divBdr>
                  <w:divsChild>
                    <w:div w:id="1962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7967">
      <w:bodyDiv w:val="1"/>
      <w:marLeft w:val="0"/>
      <w:marRight w:val="0"/>
      <w:marTop w:val="0"/>
      <w:marBottom w:val="0"/>
      <w:divBdr>
        <w:top w:val="none" w:sz="0" w:space="0" w:color="auto"/>
        <w:left w:val="none" w:sz="0" w:space="0" w:color="auto"/>
        <w:bottom w:val="none" w:sz="0" w:space="0" w:color="auto"/>
        <w:right w:val="none" w:sz="0" w:space="0" w:color="auto"/>
      </w:divBdr>
    </w:div>
    <w:div w:id="1964001224">
      <w:bodyDiv w:val="1"/>
      <w:marLeft w:val="0"/>
      <w:marRight w:val="0"/>
      <w:marTop w:val="0"/>
      <w:marBottom w:val="0"/>
      <w:divBdr>
        <w:top w:val="none" w:sz="0" w:space="0" w:color="auto"/>
        <w:left w:val="none" w:sz="0" w:space="0" w:color="auto"/>
        <w:bottom w:val="none" w:sz="0" w:space="0" w:color="auto"/>
        <w:right w:val="none" w:sz="0" w:space="0" w:color="auto"/>
      </w:divBdr>
    </w:div>
    <w:div w:id="1970936759">
      <w:bodyDiv w:val="1"/>
      <w:marLeft w:val="0"/>
      <w:marRight w:val="0"/>
      <w:marTop w:val="0"/>
      <w:marBottom w:val="0"/>
      <w:divBdr>
        <w:top w:val="none" w:sz="0" w:space="0" w:color="auto"/>
        <w:left w:val="none" w:sz="0" w:space="0" w:color="auto"/>
        <w:bottom w:val="none" w:sz="0" w:space="0" w:color="auto"/>
        <w:right w:val="none" w:sz="0" w:space="0" w:color="auto"/>
      </w:divBdr>
    </w:div>
    <w:div w:id="1980381975">
      <w:bodyDiv w:val="1"/>
      <w:marLeft w:val="0"/>
      <w:marRight w:val="0"/>
      <w:marTop w:val="0"/>
      <w:marBottom w:val="0"/>
      <w:divBdr>
        <w:top w:val="none" w:sz="0" w:space="0" w:color="auto"/>
        <w:left w:val="none" w:sz="0" w:space="0" w:color="auto"/>
        <w:bottom w:val="none" w:sz="0" w:space="0" w:color="auto"/>
        <w:right w:val="none" w:sz="0" w:space="0" w:color="auto"/>
      </w:divBdr>
    </w:div>
    <w:div w:id="1997562664">
      <w:bodyDiv w:val="1"/>
      <w:marLeft w:val="0"/>
      <w:marRight w:val="0"/>
      <w:marTop w:val="0"/>
      <w:marBottom w:val="0"/>
      <w:divBdr>
        <w:top w:val="none" w:sz="0" w:space="0" w:color="auto"/>
        <w:left w:val="none" w:sz="0" w:space="0" w:color="auto"/>
        <w:bottom w:val="none" w:sz="0" w:space="0" w:color="auto"/>
        <w:right w:val="none" w:sz="0" w:space="0" w:color="auto"/>
      </w:divBdr>
    </w:div>
    <w:div w:id="2008286295">
      <w:bodyDiv w:val="1"/>
      <w:marLeft w:val="0"/>
      <w:marRight w:val="0"/>
      <w:marTop w:val="0"/>
      <w:marBottom w:val="0"/>
      <w:divBdr>
        <w:top w:val="none" w:sz="0" w:space="0" w:color="auto"/>
        <w:left w:val="none" w:sz="0" w:space="0" w:color="auto"/>
        <w:bottom w:val="none" w:sz="0" w:space="0" w:color="auto"/>
        <w:right w:val="none" w:sz="0" w:space="0" w:color="auto"/>
      </w:divBdr>
    </w:div>
    <w:div w:id="2009404534">
      <w:bodyDiv w:val="1"/>
      <w:marLeft w:val="0"/>
      <w:marRight w:val="0"/>
      <w:marTop w:val="0"/>
      <w:marBottom w:val="0"/>
      <w:divBdr>
        <w:top w:val="none" w:sz="0" w:space="0" w:color="auto"/>
        <w:left w:val="none" w:sz="0" w:space="0" w:color="auto"/>
        <w:bottom w:val="none" w:sz="0" w:space="0" w:color="auto"/>
        <w:right w:val="none" w:sz="0" w:space="0" w:color="auto"/>
      </w:divBdr>
      <w:divsChild>
        <w:div w:id="773750215">
          <w:marLeft w:val="0"/>
          <w:marRight w:val="0"/>
          <w:marTop w:val="0"/>
          <w:marBottom w:val="0"/>
          <w:divBdr>
            <w:top w:val="none" w:sz="0" w:space="0" w:color="auto"/>
            <w:left w:val="none" w:sz="0" w:space="0" w:color="auto"/>
            <w:bottom w:val="none" w:sz="0" w:space="0" w:color="auto"/>
            <w:right w:val="none" w:sz="0" w:space="0" w:color="auto"/>
          </w:divBdr>
          <w:divsChild>
            <w:div w:id="1115565494">
              <w:marLeft w:val="0"/>
              <w:marRight w:val="0"/>
              <w:marTop w:val="0"/>
              <w:marBottom w:val="0"/>
              <w:divBdr>
                <w:top w:val="none" w:sz="0" w:space="0" w:color="auto"/>
                <w:left w:val="none" w:sz="0" w:space="0" w:color="auto"/>
                <w:bottom w:val="none" w:sz="0" w:space="0" w:color="auto"/>
                <w:right w:val="none" w:sz="0" w:space="0" w:color="auto"/>
              </w:divBdr>
              <w:divsChild>
                <w:div w:id="21163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1519">
      <w:bodyDiv w:val="1"/>
      <w:marLeft w:val="0"/>
      <w:marRight w:val="0"/>
      <w:marTop w:val="0"/>
      <w:marBottom w:val="0"/>
      <w:divBdr>
        <w:top w:val="none" w:sz="0" w:space="0" w:color="auto"/>
        <w:left w:val="none" w:sz="0" w:space="0" w:color="auto"/>
        <w:bottom w:val="none" w:sz="0" w:space="0" w:color="auto"/>
        <w:right w:val="none" w:sz="0" w:space="0" w:color="auto"/>
      </w:divBdr>
    </w:div>
    <w:div w:id="21174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o-94612.s3.amazonaws.com/documents/2018-Equity-Indicators-Full-Repor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FEF89-DBAE-0841-810B-C4A8F997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23</Pages>
  <Words>7788</Words>
  <Characters>44393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Ferrell</dc:creator>
  <cp:keywords/>
  <dc:description/>
  <cp:lastModifiedBy>Lazandra</cp:lastModifiedBy>
  <cp:revision>17</cp:revision>
  <cp:lastPrinted>2021-03-12T01:55:00Z</cp:lastPrinted>
  <dcterms:created xsi:type="dcterms:W3CDTF">2021-03-15T02:25:00Z</dcterms:created>
  <dcterms:modified xsi:type="dcterms:W3CDTF">2021-03-15T21:41:00Z</dcterms:modified>
</cp:coreProperties>
</file>