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66D77" w14:textId="7FEA226B" w:rsidR="00890D92" w:rsidRPr="00890D92" w:rsidRDefault="00890D92" w:rsidP="00890D92">
      <w:pPr>
        <w:pStyle w:val="Title"/>
        <w:rPr>
          <w:sz w:val="48"/>
        </w:rPr>
      </w:pPr>
      <w:bookmarkStart w:id="0" w:name="_GoBack"/>
      <w:bookmarkEnd w:id="0"/>
      <w:r w:rsidRPr="00890D92">
        <w:rPr>
          <w:sz w:val="48"/>
        </w:rPr>
        <w:t>2019 Oakland Stressors Index Methodology</w:t>
      </w:r>
    </w:p>
    <w:p w14:paraId="6589FD77" w14:textId="77777777" w:rsidR="00890D92" w:rsidRDefault="00890D92" w:rsidP="00890D92">
      <w:pPr>
        <w:pStyle w:val="Heading1"/>
      </w:pPr>
      <w:r>
        <w:t>Background</w:t>
      </w:r>
    </w:p>
    <w:p w14:paraId="5458A050" w14:textId="4689C692" w:rsidR="0048476A" w:rsidRDefault="0048476A" w:rsidP="00890D92">
      <w:r w:rsidRPr="000C51F4">
        <w:t>Community stress is the experience of chronic stress, violence, and trauma that has serious negative consequences on communities and individuals.</w:t>
      </w:r>
      <w:r>
        <w:t xml:space="preserve"> It leads to l</w:t>
      </w:r>
      <w:r w:rsidRPr="000C51F4">
        <w:t xml:space="preserve">ower social capital and </w:t>
      </w:r>
      <w:r>
        <w:t xml:space="preserve">decreased </w:t>
      </w:r>
      <w:r w:rsidRPr="000C51F4">
        <w:t xml:space="preserve">collective efficacy </w:t>
      </w:r>
      <w:r w:rsidR="0091322D">
        <w:t>and i</w:t>
      </w:r>
      <w:r w:rsidRPr="000C51F4">
        <w:t xml:space="preserve">mpacts </w:t>
      </w:r>
      <w:r w:rsidR="0091322D">
        <w:t xml:space="preserve">the </w:t>
      </w:r>
      <w:r w:rsidRPr="000C51F4">
        <w:t xml:space="preserve">psychological development, health, and well-being </w:t>
      </w:r>
      <w:r w:rsidR="0091322D">
        <w:t>of individuals</w:t>
      </w:r>
      <w:r>
        <w:t xml:space="preserve">. </w:t>
      </w:r>
      <w:r w:rsidR="00890D92" w:rsidRPr="000C51F4">
        <w:t xml:space="preserve">As part of </w:t>
      </w:r>
      <w:r w:rsidR="00DA4A82">
        <w:t xml:space="preserve">the </w:t>
      </w:r>
      <w:r w:rsidR="00890D92" w:rsidRPr="000C51F4">
        <w:t xml:space="preserve">City of Oakland’s mission to prevent and reduce violence across Oakland, </w:t>
      </w:r>
      <w:r w:rsidR="004C500C">
        <w:t>the Human Services Department (HSD)</w:t>
      </w:r>
      <w:r w:rsidR="004C500C" w:rsidRPr="000C51F4">
        <w:t xml:space="preserve"> </w:t>
      </w:r>
      <w:r w:rsidR="004C500C">
        <w:t xml:space="preserve">contracted </w:t>
      </w:r>
      <w:r w:rsidR="00B223EE">
        <w:t xml:space="preserve">with </w:t>
      </w:r>
      <w:r w:rsidR="0091322D">
        <w:t>Resource Development Associates (</w:t>
      </w:r>
      <w:r w:rsidR="00890D92" w:rsidRPr="000C51F4">
        <w:t>RDA</w:t>
      </w:r>
      <w:r w:rsidR="0091322D">
        <w:t>)</w:t>
      </w:r>
      <w:r w:rsidR="00890D92" w:rsidRPr="000C51F4">
        <w:t xml:space="preserve"> </w:t>
      </w:r>
      <w:r w:rsidR="004C500C">
        <w:t>to update</w:t>
      </w:r>
      <w:r w:rsidR="00890D92" w:rsidRPr="000C51F4">
        <w:t xml:space="preserve"> the Community Stressor</w:t>
      </w:r>
      <w:r w:rsidR="00B223EE">
        <w:t>s</w:t>
      </w:r>
      <w:r w:rsidR="00890D92" w:rsidRPr="000C51F4">
        <w:t xml:space="preserve"> Index</w:t>
      </w:r>
      <w:r w:rsidR="000E1A66">
        <w:t>,</w:t>
      </w:r>
      <w:r w:rsidR="00890D92" w:rsidRPr="000C51F4">
        <w:t xml:space="preserve"> </w:t>
      </w:r>
      <w:r w:rsidR="0091322D">
        <w:t xml:space="preserve">which was </w:t>
      </w:r>
      <w:r w:rsidR="00890D92" w:rsidRPr="000C51F4">
        <w:t>last updated in 2014</w:t>
      </w:r>
      <w:r w:rsidR="00890D92">
        <w:t>.</w:t>
      </w:r>
      <w:r w:rsidR="0091322D">
        <w:t xml:space="preserve"> The Oakland Stressors Index will support data-driven decision making and strategic planning of place-based interventions and allocation of resources (e.g., funding for services, deployment of </w:t>
      </w:r>
      <w:r w:rsidR="000E1A66">
        <w:t>community resource</w:t>
      </w:r>
      <w:r w:rsidR="0091322D">
        <w:t xml:space="preserve"> officers)</w:t>
      </w:r>
      <w:r w:rsidR="00E30A77">
        <w:t>.</w:t>
      </w:r>
    </w:p>
    <w:p w14:paraId="53DFA2CB" w14:textId="5B02C029" w:rsidR="0048476A" w:rsidRDefault="00890D92" w:rsidP="0048476A">
      <w:r>
        <w:t xml:space="preserve">The Oakland Stressors Index </w:t>
      </w:r>
      <w:r w:rsidR="0091322D">
        <w:t>provides a snapshot of</w:t>
      </w:r>
      <w:r>
        <w:t xml:space="preserve"> multiple risk factors on community stress.</w:t>
      </w:r>
      <w:r w:rsidR="0048476A">
        <w:t xml:space="preserve"> The index captures 21 stressor indicators across a range of domains, including 1) Health and Environment, 2) Housing, 3) Education, 4) Poverty, 5) and Criminal Justice System Involvement. RDA calculated a </w:t>
      </w:r>
      <w:r w:rsidR="00396C5E">
        <w:t xml:space="preserve">cumulative </w:t>
      </w:r>
      <w:r w:rsidR="0048476A">
        <w:t xml:space="preserve">index score that summarizes the relative levels of community stress for each census tract across the City of Oakland. </w:t>
      </w:r>
    </w:p>
    <w:p w14:paraId="07C2E62B" w14:textId="77777777" w:rsidR="002B29BB" w:rsidRDefault="002B29BB" w:rsidP="002B29BB">
      <w:pPr>
        <w:pStyle w:val="Heading1"/>
      </w:pPr>
      <w:r>
        <w:t>Indicator Selection</w:t>
      </w:r>
    </w:p>
    <w:p w14:paraId="1FD20500" w14:textId="726F09A6" w:rsidR="00890D92" w:rsidRDefault="00890D92" w:rsidP="00890D92">
      <w:r>
        <w:t xml:space="preserve">The following indicator criteria </w:t>
      </w:r>
      <w:r w:rsidR="00B223EE">
        <w:t xml:space="preserve">were </w:t>
      </w:r>
      <w:r>
        <w:t xml:space="preserve">used to identify and prioritize indicators to include in the Oakland Stressors Index. </w:t>
      </w:r>
    </w:p>
    <w:p w14:paraId="571688E5" w14:textId="77777777" w:rsidR="00890D92" w:rsidRPr="000C51F4" w:rsidRDefault="00890D92" w:rsidP="00890D92">
      <w:pPr>
        <w:pStyle w:val="ListParagraph"/>
        <w:numPr>
          <w:ilvl w:val="0"/>
          <w:numId w:val="2"/>
        </w:numPr>
      </w:pPr>
      <w:r w:rsidRPr="005409E0">
        <w:rPr>
          <w:b/>
        </w:rPr>
        <w:t>Impact:</w:t>
      </w:r>
      <w:r w:rsidRPr="000C51F4">
        <w:t xml:space="preserve"> Strong evidence that indicator has high impact on community stress</w:t>
      </w:r>
    </w:p>
    <w:p w14:paraId="168EA65D" w14:textId="77777777" w:rsidR="00890D92" w:rsidRPr="000C51F4" w:rsidRDefault="00890D92" w:rsidP="00890D92">
      <w:pPr>
        <w:pStyle w:val="ListParagraph"/>
        <w:numPr>
          <w:ilvl w:val="0"/>
          <w:numId w:val="2"/>
        </w:numPr>
      </w:pPr>
      <w:r w:rsidRPr="005409E0">
        <w:rPr>
          <w:b/>
        </w:rPr>
        <w:t>Usefulness:</w:t>
      </w:r>
      <w:r w:rsidRPr="000C51F4">
        <w:t> Captures information that helps inform City of Oakland strategies, priorities, or programming</w:t>
      </w:r>
    </w:p>
    <w:p w14:paraId="79910A35" w14:textId="28D213FA" w:rsidR="00890D92" w:rsidRPr="000C51F4" w:rsidRDefault="00890D92" w:rsidP="00890D92">
      <w:pPr>
        <w:pStyle w:val="ListParagraph"/>
        <w:numPr>
          <w:ilvl w:val="0"/>
          <w:numId w:val="2"/>
        </w:numPr>
      </w:pPr>
      <w:r w:rsidRPr="005409E0">
        <w:rPr>
          <w:b/>
        </w:rPr>
        <w:t>Feasibility:</w:t>
      </w:r>
      <w:r w:rsidRPr="000C51F4">
        <w:t> Data can be obtained with reasonable effort</w:t>
      </w:r>
      <w:r w:rsidR="00B223EE">
        <w:t xml:space="preserve"> and cost</w:t>
      </w:r>
      <w:r w:rsidRPr="000C51F4">
        <w:t>, and data is expected to be collected again in the future</w:t>
      </w:r>
    </w:p>
    <w:p w14:paraId="4C419DF2" w14:textId="77777777" w:rsidR="00890D92" w:rsidRPr="000C51F4" w:rsidRDefault="00890D92" w:rsidP="00890D92">
      <w:pPr>
        <w:pStyle w:val="ListParagraph"/>
        <w:numPr>
          <w:ilvl w:val="0"/>
          <w:numId w:val="2"/>
        </w:numPr>
      </w:pPr>
      <w:r w:rsidRPr="005409E0">
        <w:rPr>
          <w:b/>
        </w:rPr>
        <w:t>Reliability:</w:t>
      </w:r>
      <w:r w:rsidRPr="000C51F4">
        <w:t> Data accurately and reliably measures what it says it will measure</w:t>
      </w:r>
    </w:p>
    <w:p w14:paraId="0C552F26" w14:textId="77777777" w:rsidR="00890D92" w:rsidRPr="000C51F4" w:rsidRDefault="00890D92" w:rsidP="00890D92">
      <w:pPr>
        <w:pStyle w:val="ListParagraph"/>
        <w:numPr>
          <w:ilvl w:val="0"/>
          <w:numId w:val="2"/>
        </w:numPr>
      </w:pPr>
      <w:r w:rsidRPr="005409E0">
        <w:rPr>
          <w:b/>
        </w:rPr>
        <w:t>Credibility:</w:t>
      </w:r>
      <w:r w:rsidRPr="000C51F4">
        <w:t> Data has been recommended or is being used by experts and organizations</w:t>
      </w:r>
    </w:p>
    <w:p w14:paraId="3AFE7D4D" w14:textId="77777777" w:rsidR="00890D92" w:rsidRDefault="00890D92" w:rsidP="00890D92">
      <w:pPr>
        <w:pStyle w:val="ListParagraph"/>
        <w:numPr>
          <w:ilvl w:val="0"/>
          <w:numId w:val="2"/>
        </w:numPr>
      </w:pPr>
      <w:r w:rsidRPr="005409E0">
        <w:rPr>
          <w:b/>
        </w:rPr>
        <w:t>Distinctiveness:</w:t>
      </w:r>
      <w:r w:rsidRPr="000C51F4">
        <w:t> The indicator lacks redundancy and is not already captured in other indicators</w:t>
      </w:r>
    </w:p>
    <w:p w14:paraId="1D49CB88" w14:textId="6DDE1F28" w:rsidR="00464D88" w:rsidRDefault="00890D92" w:rsidP="00890D92">
      <w:pPr>
        <w:rPr>
          <w:rFonts w:eastAsiaTheme="majorEastAsia"/>
        </w:rPr>
        <w:sectPr w:rsidR="00464D88" w:rsidSect="00890D92">
          <w:headerReference w:type="default" r:id="rId8"/>
          <w:footerReference w:type="default" r:id="rId9"/>
          <w:pgSz w:w="12240" w:h="15840" w:code="1"/>
          <w:pgMar w:top="1440" w:right="1440" w:bottom="1440" w:left="1440" w:header="720" w:footer="720" w:gutter="0"/>
          <w:cols w:space="720"/>
          <w:docGrid w:linePitch="360"/>
        </w:sectPr>
      </w:pPr>
      <w:r>
        <w:rPr>
          <w:rFonts w:eastAsiaTheme="majorEastAsia"/>
        </w:rPr>
        <w:t>Oakland HSA and RDA used the indicator criteria as well as stakeholder input to analyze data for the indicators outlined in the following table. RDA utilized data from the most recent and available data sources.</w:t>
      </w:r>
    </w:p>
    <w:p w14:paraId="45B25C27" w14:textId="3311EE08" w:rsidR="00890D92" w:rsidRDefault="00890D92" w:rsidP="00890D92">
      <w:pPr>
        <w:pStyle w:val="Caption"/>
      </w:pPr>
      <w:r>
        <w:lastRenderedPageBreak/>
        <w:t xml:space="preserve">Table </w:t>
      </w:r>
      <w:r w:rsidR="00CA1DE9">
        <w:rPr>
          <w:noProof/>
        </w:rPr>
        <w:fldChar w:fldCharType="begin"/>
      </w:r>
      <w:r w:rsidR="00CA1DE9">
        <w:rPr>
          <w:noProof/>
        </w:rPr>
        <w:instrText xml:space="preserve"> SEQ Table \* ARABIC </w:instrText>
      </w:r>
      <w:r w:rsidR="00CA1DE9">
        <w:rPr>
          <w:noProof/>
        </w:rPr>
        <w:fldChar w:fldCharType="separate"/>
      </w:r>
      <w:r>
        <w:rPr>
          <w:noProof/>
        </w:rPr>
        <w:t>1</w:t>
      </w:r>
      <w:r w:rsidR="00CA1DE9">
        <w:rPr>
          <w:noProof/>
        </w:rPr>
        <w:fldChar w:fldCharType="end"/>
      </w:r>
      <w:r>
        <w:t>. Summary of Indicators Included in 2019 Oakland Stressors Index</w:t>
      </w:r>
    </w:p>
    <w:tbl>
      <w:tblPr>
        <w:tblStyle w:val="GridTable4-Accent51"/>
        <w:tblW w:w="14400" w:type="dxa"/>
        <w:tblInd w:w="-545" w:type="dxa"/>
        <w:tblLayout w:type="fixed"/>
        <w:tblLook w:val="0420" w:firstRow="1" w:lastRow="0" w:firstColumn="0" w:lastColumn="0" w:noHBand="0" w:noVBand="1"/>
      </w:tblPr>
      <w:tblGrid>
        <w:gridCol w:w="1350"/>
        <w:gridCol w:w="1620"/>
        <w:gridCol w:w="3965"/>
        <w:gridCol w:w="990"/>
        <w:gridCol w:w="990"/>
        <w:gridCol w:w="5485"/>
      </w:tblGrid>
      <w:tr w:rsidR="00464D88" w:rsidRPr="003B4E76" w14:paraId="65D63650" w14:textId="5EA147BF" w:rsidTr="00464D88">
        <w:trPr>
          <w:cnfStyle w:val="100000000000" w:firstRow="1" w:lastRow="0" w:firstColumn="0" w:lastColumn="0" w:oddVBand="0" w:evenVBand="0" w:oddHBand="0" w:evenHBand="0" w:firstRowFirstColumn="0" w:firstRowLastColumn="0" w:lastRowFirstColumn="0" w:lastRowLastColumn="0"/>
          <w:trHeight w:val="288"/>
          <w:tblHeader/>
        </w:trPr>
        <w:tc>
          <w:tcPr>
            <w:tcW w:w="1350" w:type="dxa"/>
            <w:vAlign w:val="center"/>
            <w:hideMark/>
          </w:tcPr>
          <w:p w14:paraId="6DC163EE" w14:textId="77777777" w:rsidR="00464D88" w:rsidRPr="003B4E76" w:rsidRDefault="00464D88" w:rsidP="00464D88">
            <w:pPr>
              <w:spacing w:before="20" w:after="20"/>
              <w:jc w:val="center"/>
              <w:rPr>
                <w:rFonts w:eastAsiaTheme="majorEastAsia"/>
                <w:sz w:val="21"/>
                <w:szCs w:val="21"/>
              </w:rPr>
            </w:pPr>
            <w:r w:rsidRPr="003B4E76">
              <w:rPr>
                <w:rFonts w:eastAsiaTheme="majorEastAsia"/>
                <w:bCs/>
                <w:sz w:val="21"/>
                <w:szCs w:val="21"/>
              </w:rPr>
              <w:t>Category</w:t>
            </w:r>
          </w:p>
        </w:tc>
        <w:tc>
          <w:tcPr>
            <w:tcW w:w="1620" w:type="dxa"/>
            <w:vAlign w:val="center"/>
            <w:hideMark/>
          </w:tcPr>
          <w:p w14:paraId="2F238D6F" w14:textId="77777777" w:rsidR="00464D88" w:rsidRPr="003B4E76" w:rsidRDefault="00464D88" w:rsidP="00464D88">
            <w:pPr>
              <w:spacing w:before="20" w:after="20"/>
              <w:jc w:val="center"/>
              <w:rPr>
                <w:rFonts w:eastAsiaTheme="majorEastAsia"/>
                <w:bCs/>
                <w:sz w:val="21"/>
                <w:szCs w:val="21"/>
              </w:rPr>
            </w:pPr>
            <w:r w:rsidRPr="003B4E76">
              <w:rPr>
                <w:rFonts w:eastAsiaTheme="majorEastAsia"/>
                <w:bCs/>
                <w:sz w:val="21"/>
                <w:szCs w:val="21"/>
              </w:rPr>
              <w:t>Indicator</w:t>
            </w:r>
          </w:p>
        </w:tc>
        <w:tc>
          <w:tcPr>
            <w:tcW w:w="3965" w:type="dxa"/>
            <w:vAlign w:val="center"/>
          </w:tcPr>
          <w:p w14:paraId="01F5AB6D" w14:textId="77777777" w:rsidR="00464D88" w:rsidRPr="003B4E76" w:rsidRDefault="00464D88" w:rsidP="00464D88">
            <w:pPr>
              <w:spacing w:before="20" w:after="20"/>
              <w:jc w:val="center"/>
              <w:rPr>
                <w:rFonts w:eastAsiaTheme="majorEastAsia"/>
                <w:sz w:val="21"/>
                <w:szCs w:val="21"/>
              </w:rPr>
            </w:pPr>
            <w:r w:rsidRPr="003B4E76">
              <w:rPr>
                <w:rFonts w:eastAsiaTheme="majorEastAsia"/>
                <w:sz w:val="21"/>
                <w:szCs w:val="21"/>
              </w:rPr>
              <w:t>Measure</w:t>
            </w:r>
          </w:p>
        </w:tc>
        <w:tc>
          <w:tcPr>
            <w:tcW w:w="990" w:type="dxa"/>
            <w:vAlign w:val="center"/>
          </w:tcPr>
          <w:p w14:paraId="43140711" w14:textId="77777777" w:rsidR="00464D88" w:rsidRPr="003B4E76" w:rsidRDefault="00464D88" w:rsidP="00464D88">
            <w:pPr>
              <w:spacing w:before="20" w:after="20"/>
              <w:jc w:val="center"/>
              <w:rPr>
                <w:rFonts w:eastAsiaTheme="majorEastAsia"/>
                <w:sz w:val="21"/>
                <w:szCs w:val="21"/>
              </w:rPr>
            </w:pPr>
            <w:r w:rsidRPr="003B4E76">
              <w:rPr>
                <w:rFonts w:eastAsiaTheme="majorEastAsia"/>
                <w:sz w:val="21"/>
                <w:szCs w:val="21"/>
              </w:rPr>
              <w:t>Year</w:t>
            </w:r>
          </w:p>
        </w:tc>
        <w:tc>
          <w:tcPr>
            <w:tcW w:w="990" w:type="dxa"/>
          </w:tcPr>
          <w:p w14:paraId="725FF210" w14:textId="77777777" w:rsidR="00464D88" w:rsidRPr="003B4E76" w:rsidRDefault="00464D88" w:rsidP="00464D88">
            <w:pPr>
              <w:spacing w:before="20" w:after="20"/>
              <w:jc w:val="center"/>
              <w:rPr>
                <w:rFonts w:eastAsiaTheme="majorEastAsia"/>
                <w:sz w:val="21"/>
                <w:szCs w:val="21"/>
              </w:rPr>
            </w:pPr>
            <w:r>
              <w:rPr>
                <w:rFonts w:eastAsiaTheme="majorEastAsia"/>
                <w:sz w:val="21"/>
                <w:szCs w:val="21"/>
              </w:rPr>
              <w:t>Original Unit of Analysis</w:t>
            </w:r>
          </w:p>
        </w:tc>
        <w:tc>
          <w:tcPr>
            <w:tcW w:w="5485" w:type="dxa"/>
            <w:vAlign w:val="center"/>
          </w:tcPr>
          <w:p w14:paraId="33321078" w14:textId="31DD0B2A" w:rsidR="00464D88" w:rsidRDefault="00464D88" w:rsidP="00464D88">
            <w:pPr>
              <w:spacing w:before="20" w:after="20"/>
              <w:jc w:val="center"/>
              <w:rPr>
                <w:rFonts w:eastAsiaTheme="majorEastAsia"/>
                <w:sz w:val="21"/>
                <w:szCs w:val="21"/>
              </w:rPr>
            </w:pPr>
            <w:r w:rsidRPr="003B4E76">
              <w:rPr>
                <w:rFonts w:eastAsiaTheme="majorEastAsia"/>
                <w:sz w:val="21"/>
                <w:szCs w:val="21"/>
              </w:rPr>
              <w:t>Data Source</w:t>
            </w:r>
          </w:p>
        </w:tc>
      </w:tr>
      <w:tr w:rsidR="00464D88" w:rsidRPr="003B4E76" w14:paraId="6B38290E" w14:textId="7A028166" w:rsidTr="00945C67">
        <w:trPr>
          <w:cnfStyle w:val="000000100000" w:firstRow="0" w:lastRow="0" w:firstColumn="0" w:lastColumn="0" w:oddVBand="0" w:evenVBand="0" w:oddHBand="1" w:evenHBand="0" w:firstRowFirstColumn="0" w:firstRowLastColumn="0" w:lastRowFirstColumn="0" w:lastRowLastColumn="0"/>
          <w:trHeight w:val="288"/>
        </w:trPr>
        <w:tc>
          <w:tcPr>
            <w:tcW w:w="1350" w:type="dxa"/>
            <w:vMerge w:val="restart"/>
          </w:tcPr>
          <w:p w14:paraId="65EE877B" w14:textId="77777777" w:rsidR="00464D88" w:rsidRPr="003B4E76" w:rsidRDefault="00464D88" w:rsidP="00464D88">
            <w:pPr>
              <w:spacing w:before="20" w:after="20"/>
              <w:jc w:val="center"/>
              <w:rPr>
                <w:rFonts w:eastAsiaTheme="majorEastAsia"/>
                <w:b/>
                <w:sz w:val="21"/>
                <w:szCs w:val="21"/>
              </w:rPr>
            </w:pPr>
            <w:r w:rsidRPr="003B4E76">
              <w:rPr>
                <w:rFonts w:eastAsiaTheme="majorEastAsia"/>
                <w:b/>
                <w:sz w:val="21"/>
                <w:szCs w:val="21"/>
              </w:rPr>
              <w:t>Health and Environment</w:t>
            </w:r>
          </w:p>
        </w:tc>
        <w:tc>
          <w:tcPr>
            <w:tcW w:w="1620" w:type="dxa"/>
          </w:tcPr>
          <w:p w14:paraId="0AD07385" w14:textId="77777777" w:rsidR="00464D88" w:rsidRPr="003B4E76" w:rsidRDefault="00464D88" w:rsidP="00464D88">
            <w:pPr>
              <w:spacing w:before="20" w:after="20"/>
              <w:jc w:val="left"/>
              <w:rPr>
                <w:rFonts w:eastAsiaTheme="majorEastAsia"/>
                <w:b/>
                <w:sz w:val="21"/>
                <w:szCs w:val="21"/>
              </w:rPr>
            </w:pPr>
            <w:r w:rsidRPr="003B4E76">
              <w:rPr>
                <w:rFonts w:cs="Arial"/>
                <w:b/>
                <w:sz w:val="21"/>
                <w:szCs w:val="21"/>
              </w:rPr>
              <w:t>Healthy Retail Food Environment</w:t>
            </w:r>
          </w:p>
        </w:tc>
        <w:tc>
          <w:tcPr>
            <w:tcW w:w="3965" w:type="dxa"/>
          </w:tcPr>
          <w:p w14:paraId="79EC7620" w14:textId="20F70CC6" w:rsidR="00464D88" w:rsidRPr="003B4E76" w:rsidRDefault="00464D88" w:rsidP="00464D88">
            <w:pPr>
              <w:spacing w:before="20" w:after="20"/>
              <w:jc w:val="left"/>
              <w:rPr>
                <w:rFonts w:eastAsiaTheme="majorEastAsia"/>
                <w:sz w:val="21"/>
                <w:szCs w:val="21"/>
              </w:rPr>
            </w:pPr>
            <w:r w:rsidRPr="003B4E76">
              <w:rPr>
                <w:rFonts w:eastAsiaTheme="majorEastAsia"/>
                <w:sz w:val="21"/>
                <w:szCs w:val="21"/>
              </w:rPr>
              <w:t>Modified retail food environment index (</w:t>
            </w:r>
            <w:r>
              <w:rPr>
                <w:rFonts w:eastAsiaTheme="majorEastAsia"/>
                <w:sz w:val="21"/>
                <w:szCs w:val="21"/>
              </w:rPr>
              <w:t>Percent of all food retailers that are healthy food retailors</w:t>
            </w:r>
            <w:r w:rsidRPr="003B4E76">
              <w:rPr>
                <w:rFonts w:eastAsiaTheme="majorEastAsia"/>
                <w:sz w:val="21"/>
                <w:szCs w:val="21"/>
              </w:rPr>
              <w:t>)</w:t>
            </w:r>
          </w:p>
        </w:tc>
        <w:tc>
          <w:tcPr>
            <w:tcW w:w="990" w:type="dxa"/>
          </w:tcPr>
          <w:p w14:paraId="6D3B53CC" w14:textId="77777777" w:rsidR="00464D88" w:rsidRPr="003B4E76" w:rsidRDefault="00464D88" w:rsidP="00464D88">
            <w:pPr>
              <w:spacing w:before="20" w:after="20"/>
              <w:jc w:val="center"/>
              <w:rPr>
                <w:rFonts w:eastAsiaTheme="majorEastAsia"/>
                <w:sz w:val="21"/>
                <w:szCs w:val="21"/>
              </w:rPr>
            </w:pPr>
            <w:r w:rsidRPr="003B4E76">
              <w:rPr>
                <w:rFonts w:eastAsiaTheme="majorEastAsia"/>
                <w:sz w:val="21"/>
                <w:szCs w:val="21"/>
              </w:rPr>
              <w:t>2017</w:t>
            </w:r>
          </w:p>
        </w:tc>
        <w:tc>
          <w:tcPr>
            <w:tcW w:w="990" w:type="dxa"/>
          </w:tcPr>
          <w:p w14:paraId="180AA3BC" w14:textId="77777777" w:rsidR="00464D88" w:rsidRPr="003B4E76" w:rsidRDefault="00464D88" w:rsidP="00464D88">
            <w:pPr>
              <w:spacing w:before="20" w:after="20"/>
              <w:jc w:val="center"/>
              <w:rPr>
                <w:rFonts w:eastAsiaTheme="majorEastAsia"/>
                <w:sz w:val="21"/>
                <w:szCs w:val="21"/>
              </w:rPr>
            </w:pPr>
            <w:r>
              <w:rPr>
                <w:rFonts w:eastAsiaTheme="majorEastAsia"/>
                <w:sz w:val="21"/>
                <w:szCs w:val="21"/>
              </w:rPr>
              <w:t>Census Tract</w:t>
            </w:r>
          </w:p>
        </w:tc>
        <w:tc>
          <w:tcPr>
            <w:tcW w:w="5485" w:type="dxa"/>
            <w:vAlign w:val="center"/>
          </w:tcPr>
          <w:p w14:paraId="1CE5D4D9" w14:textId="24569E6C" w:rsidR="00464D88" w:rsidRPr="00516E98" w:rsidRDefault="00464D88" w:rsidP="00945C67">
            <w:pPr>
              <w:spacing w:before="20" w:after="20"/>
              <w:jc w:val="center"/>
              <w:rPr>
                <w:rFonts w:eastAsiaTheme="majorEastAsia"/>
                <w:i/>
                <w:sz w:val="21"/>
                <w:szCs w:val="21"/>
              </w:rPr>
            </w:pPr>
            <w:r w:rsidRPr="00516E98">
              <w:rPr>
                <w:rFonts w:eastAsiaTheme="majorEastAsia"/>
                <w:i/>
                <w:sz w:val="21"/>
                <w:szCs w:val="21"/>
              </w:rPr>
              <w:t>Healthy Communities Data and Indicators Project, California Department of Public Health.</w:t>
            </w:r>
            <w:r w:rsidR="00516E98" w:rsidRPr="00516E98">
              <w:rPr>
                <w:rFonts w:eastAsiaTheme="majorEastAsia"/>
                <w:i/>
                <w:sz w:val="21"/>
                <w:szCs w:val="21"/>
              </w:rPr>
              <w:t xml:space="preserve"> </w:t>
            </w:r>
            <w:r w:rsidRPr="00516E98">
              <w:rPr>
                <w:rFonts w:eastAsiaTheme="majorEastAsia"/>
                <w:i/>
                <w:sz w:val="21"/>
                <w:szCs w:val="21"/>
              </w:rPr>
              <w:t>2017. Modified Retail Food Environment Index.</w:t>
            </w:r>
          </w:p>
        </w:tc>
      </w:tr>
      <w:tr w:rsidR="00464D88" w:rsidRPr="003B4E76" w14:paraId="1794E697" w14:textId="0CEE7223" w:rsidTr="00945C67">
        <w:trPr>
          <w:trHeight w:val="288"/>
        </w:trPr>
        <w:tc>
          <w:tcPr>
            <w:tcW w:w="1350" w:type="dxa"/>
            <w:vMerge/>
          </w:tcPr>
          <w:p w14:paraId="648BDC0B" w14:textId="77777777" w:rsidR="00464D88" w:rsidRPr="003B4E76" w:rsidRDefault="00464D88" w:rsidP="00464D88">
            <w:pPr>
              <w:spacing w:before="20" w:after="20"/>
              <w:jc w:val="center"/>
              <w:rPr>
                <w:rFonts w:eastAsiaTheme="majorEastAsia"/>
                <w:b/>
                <w:sz w:val="21"/>
                <w:szCs w:val="21"/>
              </w:rPr>
            </w:pPr>
          </w:p>
        </w:tc>
        <w:tc>
          <w:tcPr>
            <w:tcW w:w="1620" w:type="dxa"/>
            <w:shd w:val="clear" w:color="auto" w:fill="DAEEF3" w:themeFill="accent5" w:themeFillTint="33"/>
          </w:tcPr>
          <w:p w14:paraId="648589CE" w14:textId="77777777" w:rsidR="00464D88" w:rsidRPr="003B4E76" w:rsidRDefault="00464D88" w:rsidP="00464D88">
            <w:pPr>
              <w:spacing w:before="20" w:after="20"/>
              <w:jc w:val="left"/>
              <w:rPr>
                <w:rFonts w:cs="Arial"/>
                <w:b/>
                <w:sz w:val="21"/>
                <w:szCs w:val="21"/>
              </w:rPr>
            </w:pPr>
            <w:r w:rsidRPr="003B4E76">
              <w:rPr>
                <w:rFonts w:cs="Arial"/>
                <w:b/>
                <w:sz w:val="21"/>
                <w:szCs w:val="21"/>
              </w:rPr>
              <w:t>Insurance Coverage</w:t>
            </w:r>
          </w:p>
        </w:tc>
        <w:tc>
          <w:tcPr>
            <w:tcW w:w="3965" w:type="dxa"/>
            <w:shd w:val="clear" w:color="auto" w:fill="DAEEF3" w:themeFill="accent5" w:themeFillTint="33"/>
          </w:tcPr>
          <w:p w14:paraId="72048EAE" w14:textId="77777777" w:rsidR="00464D88" w:rsidRPr="003B4E76" w:rsidRDefault="00464D88" w:rsidP="00464D88">
            <w:pPr>
              <w:spacing w:before="20" w:after="20"/>
              <w:jc w:val="left"/>
              <w:rPr>
                <w:rFonts w:eastAsiaTheme="majorEastAsia"/>
                <w:sz w:val="21"/>
                <w:szCs w:val="21"/>
              </w:rPr>
            </w:pPr>
            <w:r w:rsidRPr="003B4E76">
              <w:rPr>
                <w:rFonts w:eastAsiaTheme="majorEastAsia"/>
                <w:sz w:val="21"/>
                <w:szCs w:val="21"/>
              </w:rPr>
              <w:t>Percent of population without health insurance coverage</w:t>
            </w:r>
          </w:p>
        </w:tc>
        <w:tc>
          <w:tcPr>
            <w:tcW w:w="990" w:type="dxa"/>
            <w:shd w:val="clear" w:color="auto" w:fill="DAEEF3" w:themeFill="accent5" w:themeFillTint="33"/>
          </w:tcPr>
          <w:p w14:paraId="19A6D7F7" w14:textId="77777777" w:rsidR="00464D88" w:rsidRPr="003B4E76" w:rsidRDefault="00464D88" w:rsidP="00464D88">
            <w:pPr>
              <w:spacing w:before="20" w:after="20"/>
              <w:jc w:val="center"/>
              <w:rPr>
                <w:rFonts w:eastAsiaTheme="majorEastAsia"/>
                <w:sz w:val="21"/>
                <w:szCs w:val="21"/>
              </w:rPr>
            </w:pPr>
            <w:r w:rsidRPr="003B4E76">
              <w:rPr>
                <w:rFonts w:eastAsiaTheme="majorEastAsia"/>
                <w:sz w:val="21"/>
                <w:szCs w:val="21"/>
              </w:rPr>
              <w:t>2017</w:t>
            </w:r>
          </w:p>
        </w:tc>
        <w:tc>
          <w:tcPr>
            <w:tcW w:w="990" w:type="dxa"/>
            <w:shd w:val="clear" w:color="auto" w:fill="DAEEF3" w:themeFill="accent5" w:themeFillTint="33"/>
          </w:tcPr>
          <w:p w14:paraId="30B7D5E1" w14:textId="77777777" w:rsidR="00464D88" w:rsidRPr="003B4E76" w:rsidRDefault="00464D88" w:rsidP="00464D88">
            <w:pPr>
              <w:spacing w:before="20" w:after="20"/>
              <w:jc w:val="center"/>
              <w:rPr>
                <w:rFonts w:eastAsiaTheme="majorEastAsia"/>
                <w:sz w:val="21"/>
                <w:szCs w:val="21"/>
              </w:rPr>
            </w:pPr>
            <w:r>
              <w:rPr>
                <w:rFonts w:eastAsiaTheme="majorEastAsia"/>
                <w:sz w:val="21"/>
                <w:szCs w:val="21"/>
              </w:rPr>
              <w:t>Census Tract</w:t>
            </w:r>
          </w:p>
        </w:tc>
        <w:tc>
          <w:tcPr>
            <w:tcW w:w="5485" w:type="dxa"/>
            <w:shd w:val="clear" w:color="auto" w:fill="DAEEF3" w:themeFill="accent5" w:themeFillTint="33"/>
            <w:vAlign w:val="center"/>
          </w:tcPr>
          <w:p w14:paraId="3F0643BF" w14:textId="52CBD6AC" w:rsidR="00464D88" w:rsidRPr="00516E98" w:rsidRDefault="00464D88" w:rsidP="00945C67">
            <w:pPr>
              <w:spacing w:before="20" w:after="20"/>
              <w:jc w:val="center"/>
              <w:rPr>
                <w:rFonts w:eastAsiaTheme="majorEastAsia"/>
                <w:i/>
                <w:sz w:val="21"/>
                <w:szCs w:val="21"/>
              </w:rPr>
            </w:pPr>
            <w:r w:rsidRPr="00516E98">
              <w:rPr>
                <w:rFonts w:eastAsiaTheme="majorEastAsia"/>
                <w:i/>
                <w:sz w:val="21"/>
                <w:szCs w:val="21"/>
              </w:rPr>
              <w:t>U.S. Census Bureau American Community Survey</w:t>
            </w:r>
            <w:r w:rsidR="00516E98" w:rsidRPr="00516E98">
              <w:rPr>
                <w:rFonts w:eastAsiaTheme="majorEastAsia"/>
                <w:i/>
                <w:sz w:val="21"/>
                <w:szCs w:val="21"/>
              </w:rPr>
              <w:t>, 2017 American Community Survey 5 Year Estimates. Table B27001.</w:t>
            </w:r>
          </w:p>
        </w:tc>
      </w:tr>
      <w:tr w:rsidR="00464D88" w:rsidRPr="003B4E76" w14:paraId="427E15BE" w14:textId="5D1F905B" w:rsidTr="00945C67">
        <w:trPr>
          <w:cnfStyle w:val="000000100000" w:firstRow="0" w:lastRow="0" w:firstColumn="0" w:lastColumn="0" w:oddVBand="0" w:evenVBand="0" w:oddHBand="1" w:evenHBand="0" w:firstRowFirstColumn="0" w:firstRowLastColumn="0" w:lastRowFirstColumn="0" w:lastRowLastColumn="0"/>
          <w:trHeight w:val="288"/>
        </w:trPr>
        <w:tc>
          <w:tcPr>
            <w:tcW w:w="1350" w:type="dxa"/>
            <w:vMerge w:val="restart"/>
            <w:shd w:val="clear" w:color="auto" w:fill="FFFFFF" w:themeFill="background1"/>
          </w:tcPr>
          <w:p w14:paraId="465EFE21" w14:textId="77777777" w:rsidR="00464D88" w:rsidRPr="003B4E76" w:rsidRDefault="00464D88" w:rsidP="00464D88">
            <w:pPr>
              <w:spacing w:before="20" w:after="20"/>
              <w:jc w:val="center"/>
              <w:rPr>
                <w:rFonts w:eastAsiaTheme="majorEastAsia"/>
                <w:b/>
                <w:sz w:val="21"/>
                <w:szCs w:val="21"/>
              </w:rPr>
            </w:pPr>
            <w:r w:rsidRPr="003B4E76">
              <w:rPr>
                <w:rFonts w:eastAsiaTheme="majorEastAsia"/>
                <w:b/>
                <w:sz w:val="21"/>
                <w:szCs w:val="21"/>
              </w:rPr>
              <w:t>Housing</w:t>
            </w:r>
          </w:p>
        </w:tc>
        <w:tc>
          <w:tcPr>
            <w:tcW w:w="1620" w:type="dxa"/>
            <w:shd w:val="clear" w:color="auto" w:fill="FFFFFF" w:themeFill="background1"/>
          </w:tcPr>
          <w:p w14:paraId="45481892" w14:textId="77777777" w:rsidR="00464D88" w:rsidRPr="003B4E76" w:rsidRDefault="00464D88" w:rsidP="00464D88">
            <w:pPr>
              <w:spacing w:before="20" w:after="20"/>
              <w:jc w:val="left"/>
              <w:rPr>
                <w:rFonts w:cs="Arial"/>
                <w:b/>
                <w:sz w:val="21"/>
                <w:szCs w:val="21"/>
              </w:rPr>
            </w:pPr>
            <w:r w:rsidRPr="003B4E76">
              <w:rPr>
                <w:rFonts w:cs="Arial"/>
                <w:b/>
                <w:sz w:val="21"/>
                <w:szCs w:val="21"/>
              </w:rPr>
              <w:t>Housing Cost Burden</w:t>
            </w:r>
          </w:p>
        </w:tc>
        <w:tc>
          <w:tcPr>
            <w:tcW w:w="3965" w:type="dxa"/>
            <w:shd w:val="clear" w:color="auto" w:fill="FFFFFF" w:themeFill="background1"/>
          </w:tcPr>
          <w:p w14:paraId="79E3780C" w14:textId="77777777" w:rsidR="00464D88" w:rsidRPr="003B4E76" w:rsidRDefault="00464D88" w:rsidP="00464D88">
            <w:pPr>
              <w:spacing w:before="20" w:after="20"/>
              <w:jc w:val="left"/>
              <w:rPr>
                <w:rFonts w:eastAsiaTheme="majorEastAsia"/>
                <w:sz w:val="21"/>
                <w:szCs w:val="21"/>
              </w:rPr>
            </w:pPr>
            <w:r w:rsidRPr="003B4E76">
              <w:rPr>
                <w:rFonts w:eastAsiaTheme="majorEastAsia"/>
                <w:sz w:val="21"/>
                <w:szCs w:val="21"/>
              </w:rPr>
              <w:t>Percent of households paying more than 30% of monthly household income towards housing costs</w:t>
            </w:r>
          </w:p>
        </w:tc>
        <w:tc>
          <w:tcPr>
            <w:tcW w:w="990" w:type="dxa"/>
            <w:shd w:val="clear" w:color="auto" w:fill="FFFFFF" w:themeFill="background1"/>
          </w:tcPr>
          <w:p w14:paraId="49136710" w14:textId="77777777" w:rsidR="00464D88" w:rsidRPr="003B4E76" w:rsidRDefault="00464D88" w:rsidP="00464D88">
            <w:pPr>
              <w:spacing w:before="20" w:after="20"/>
              <w:jc w:val="center"/>
              <w:rPr>
                <w:rFonts w:eastAsiaTheme="majorEastAsia"/>
                <w:sz w:val="21"/>
                <w:szCs w:val="21"/>
              </w:rPr>
            </w:pPr>
            <w:r w:rsidRPr="003B4E76">
              <w:rPr>
                <w:rFonts w:eastAsiaTheme="majorEastAsia"/>
                <w:sz w:val="21"/>
                <w:szCs w:val="21"/>
              </w:rPr>
              <w:t>2016</w:t>
            </w:r>
          </w:p>
        </w:tc>
        <w:tc>
          <w:tcPr>
            <w:tcW w:w="990" w:type="dxa"/>
            <w:shd w:val="clear" w:color="auto" w:fill="FFFFFF" w:themeFill="background1"/>
          </w:tcPr>
          <w:p w14:paraId="0865BFDC" w14:textId="77777777" w:rsidR="00464D88" w:rsidRPr="003B4E76" w:rsidRDefault="00464D88" w:rsidP="00464D88">
            <w:pPr>
              <w:spacing w:before="20" w:after="20"/>
              <w:jc w:val="center"/>
              <w:rPr>
                <w:rFonts w:eastAsiaTheme="majorEastAsia"/>
                <w:sz w:val="21"/>
                <w:szCs w:val="21"/>
              </w:rPr>
            </w:pPr>
            <w:r>
              <w:rPr>
                <w:rFonts w:eastAsiaTheme="majorEastAsia"/>
                <w:sz w:val="21"/>
                <w:szCs w:val="21"/>
              </w:rPr>
              <w:t>Census Tract</w:t>
            </w:r>
          </w:p>
        </w:tc>
        <w:tc>
          <w:tcPr>
            <w:tcW w:w="5485" w:type="dxa"/>
            <w:shd w:val="clear" w:color="auto" w:fill="FFFFFF" w:themeFill="background1"/>
            <w:vAlign w:val="center"/>
          </w:tcPr>
          <w:p w14:paraId="372DED62" w14:textId="099B687A" w:rsidR="00464D88" w:rsidRPr="00516E98" w:rsidRDefault="00464D88" w:rsidP="00945C67">
            <w:pPr>
              <w:spacing w:before="20" w:after="20"/>
              <w:jc w:val="center"/>
              <w:rPr>
                <w:rFonts w:eastAsiaTheme="majorEastAsia"/>
                <w:i/>
                <w:sz w:val="21"/>
                <w:szCs w:val="21"/>
              </w:rPr>
            </w:pPr>
            <w:r w:rsidRPr="00516E98">
              <w:rPr>
                <w:rFonts w:eastAsiaTheme="majorEastAsia"/>
                <w:i/>
                <w:sz w:val="21"/>
                <w:szCs w:val="21"/>
              </w:rPr>
              <w:t>U.S. Department of Housing and Urban Development (HUD), Consolidated Planning Comprehensive Housing Affordability Strategy (CHAS)</w:t>
            </w:r>
            <w:r w:rsidR="00516E98" w:rsidRPr="00516E98">
              <w:rPr>
                <w:rFonts w:eastAsiaTheme="majorEastAsia"/>
                <w:i/>
                <w:sz w:val="21"/>
                <w:szCs w:val="21"/>
              </w:rPr>
              <w:t>. 2016.</w:t>
            </w:r>
          </w:p>
        </w:tc>
      </w:tr>
      <w:tr w:rsidR="00464D88" w:rsidRPr="003B4E76" w14:paraId="0059DF9C" w14:textId="3E373AC0" w:rsidTr="00945C67">
        <w:trPr>
          <w:trHeight w:val="288"/>
        </w:trPr>
        <w:tc>
          <w:tcPr>
            <w:tcW w:w="1350" w:type="dxa"/>
            <w:vMerge/>
            <w:shd w:val="clear" w:color="auto" w:fill="FFFFFF" w:themeFill="background1"/>
          </w:tcPr>
          <w:p w14:paraId="7A14E40D" w14:textId="77777777" w:rsidR="00464D88" w:rsidRPr="003B4E76" w:rsidRDefault="00464D88" w:rsidP="00464D88">
            <w:pPr>
              <w:spacing w:before="20" w:after="20"/>
              <w:jc w:val="center"/>
              <w:rPr>
                <w:rFonts w:eastAsiaTheme="majorEastAsia"/>
                <w:b/>
                <w:sz w:val="21"/>
                <w:szCs w:val="21"/>
              </w:rPr>
            </w:pPr>
          </w:p>
        </w:tc>
        <w:tc>
          <w:tcPr>
            <w:tcW w:w="1620" w:type="dxa"/>
            <w:shd w:val="clear" w:color="auto" w:fill="FFFFFF" w:themeFill="background1"/>
          </w:tcPr>
          <w:p w14:paraId="0E7DB240" w14:textId="77777777" w:rsidR="00464D88" w:rsidRPr="003B4E76" w:rsidRDefault="00464D88" w:rsidP="00464D88">
            <w:pPr>
              <w:spacing w:before="20" w:after="20"/>
              <w:jc w:val="left"/>
              <w:rPr>
                <w:rFonts w:cs="Arial"/>
                <w:b/>
                <w:sz w:val="21"/>
                <w:szCs w:val="21"/>
              </w:rPr>
            </w:pPr>
            <w:r w:rsidRPr="003B4E76">
              <w:rPr>
                <w:rFonts w:cs="Arial"/>
                <w:b/>
                <w:sz w:val="21"/>
                <w:szCs w:val="21"/>
              </w:rPr>
              <w:t xml:space="preserve">Housing Affordability </w:t>
            </w:r>
          </w:p>
        </w:tc>
        <w:tc>
          <w:tcPr>
            <w:tcW w:w="3965" w:type="dxa"/>
            <w:shd w:val="clear" w:color="auto" w:fill="FFFFFF" w:themeFill="background1"/>
          </w:tcPr>
          <w:p w14:paraId="072BE78B" w14:textId="77777777" w:rsidR="00464D88" w:rsidRPr="003B4E76" w:rsidRDefault="00464D88" w:rsidP="00464D88">
            <w:pPr>
              <w:spacing w:before="20" w:after="20"/>
              <w:jc w:val="left"/>
              <w:rPr>
                <w:rFonts w:eastAsiaTheme="majorEastAsia"/>
                <w:sz w:val="21"/>
                <w:szCs w:val="21"/>
              </w:rPr>
            </w:pPr>
            <w:r w:rsidRPr="003B4E76">
              <w:rPr>
                <w:rFonts w:eastAsiaTheme="majorEastAsia"/>
                <w:sz w:val="21"/>
                <w:szCs w:val="21"/>
              </w:rPr>
              <w:t>Ratio of median income of census tract to median value of dwellings in census tract</w:t>
            </w:r>
          </w:p>
        </w:tc>
        <w:tc>
          <w:tcPr>
            <w:tcW w:w="990" w:type="dxa"/>
            <w:shd w:val="clear" w:color="auto" w:fill="FFFFFF" w:themeFill="background1"/>
          </w:tcPr>
          <w:p w14:paraId="53623828" w14:textId="77777777" w:rsidR="00464D88" w:rsidRPr="003B4E76" w:rsidRDefault="00464D88" w:rsidP="00464D88">
            <w:pPr>
              <w:spacing w:before="20" w:after="20"/>
              <w:jc w:val="center"/>
              <w:rPr>
                <w:rFonts w:eastAsiaTheme="majorEastAsia"/>
                <w:sz w:val="21"/>
                <w:szCs w:val="21"/>
              </w:rPr>
            </w:pPr>
            <w:r w:rsidRPr="003B4E76">
              <w:rPr>
                <w:rFonts w:eastAsiaTheme="majorEastAsia"/>
                <w:sz w:val="21"/>
                <w:szCs w:val="21"/>
              </w:rPr>
              <w:t>2016</w:t>
            </w:r>
          </w:p>
        </w:tc>
        <w:tc>
          <w:tcPr>
            <w:tcW w:w="990" w:type="dxa"/>
            <w:shd w:val="clear" w:color="auto" w:fill="FFFFFF" w:themeFill="background1"/>
          </w:tcPr>
          <w:p w14:paraId="7A112F8B" w14:textId="77777777" w:rsidR="00464D88" w:rsidRPr="003B4E76" w:rsidRDefault="00464D88" w:rsidP="00464D88">
            <w:pPr>
              <w:spacing w:before="20" w:after="20"/>
              <w:jc w:val="center"/>
              <w:rPr>
                <w:rFonts w:eastAsiaTheme="majorEastAsia"/>
                <w:sz w:val="21"/>
                <w:szCs w:val="21"/>
              </w:rPr>
            </w:pPr>
            <w:r>
              <w:rPr>
                <w:rFonts w:eastAsiaTheme="majorEastAsia"/>
                <w:sz w:val="21"/>
                <w:szCs w:val="21"/>
              </w:rPr>
              <w:t>Census Tract</w:t>
            </w:r>
          </w:p>
        </w:tc>
        <w:tc>
          <w:tcPr>
            <w:tcW w:w="5485" w:type="dxa"/>
            <w:shd w:val="clear" w:color="auto" w:fill="FFFFFF" w:themeFill="background1"/>
            <w:vAlign w:val="center"/>
          </w:tcPr>
          <w:p w14:paraId="192912F7" w14:textId="0B4F4FA7" w:rsidR="00464D88" w:rsidRPr="00516E98" w:rsidRDefault="00464D88" w:rsidP="00945C67">
            <w:pPr>
              <w:spacing w:before="20" w:after="20"/>
              <w:jc w:val="center"/>
              <w:rPr>
                <w:rFonts w:eastAsiaTheme="majorEastAsia"/>
                <w:i/>
                <w:sz w:val="21"/>
                <w:szCs w:val="21"/>
              </w:rPr>
            </w:pPr>
            <w:r w:rsidRPr="00E30A77">
              <w:rPr>
                <w:rFonts w:eastAsiaTheme="majorEastAsia"/>
                <w:i/>
                <w:sz w:val="21"/>
                <w:szCs w:val="21"/>
              </w:rPr>
              <w:t>U.S. Department of Housing and Urban Development (HUD), Consolidated Planning Comprehensive Housing Affordability Strategy (CHAS)</w:t>
            </w:r>
            <w:r w:rsidR="008F1E11" w:rsidRPr="00E30A77">
              <w:rPr>
                <w:rFonts w:eastAsiaTheme="majorEastAsia"/>
                <w:i/>
                <w:sz w:val="21"/>
                <w:szCs w:val="21"/>
              </w:rPr>
              <w:t>.</w:t>
            </w:r>
          </w:p>
        </w:tc>
      </w:tr>
      <w:tr w:rsidR="00464D88" w:rsidRPr="003B4E76" w14:paraId="3ADB077F" w14:textId="0DB14C85" w:rsidTr="00945C67">
        <w:trPr>
          <w:cnfStyle w:val="000000100000" w:firstRow="0" w:lastRow="0" w:firstColumn="0" w:lastColumn="0" w:oddVBand="0" w:evenVBand="0" w:oddHBand="1" w:evenHBand="0" w:firstRowFirstColumn="0" w:firstRowLastColumn="0" w:lastRowFirstColumn="0" w:lastRowLastColumn="0"/>
          <w:trHeight w:val="197"/>
        </w:trPr>
        <w:tc>
          <w:tcPr>
            <w:tcW w:w="1350" w:type="dxa"/>
            <w:vMerge/>
            <w:shd w:val="clear" w:color="auto" w:fill="FFFFFF" w:themeFill="background1"/>
          </w:tcPr>
          <w:p w14:paraId="12E41DBF" w14:textId="77777777" w:rsidR="00464D88" w:rsidRPr="003B4E76" w:rsidRDefault="00464D88" w:rsidP="00464D88">
            <w:pPr>
              <w:spacing w:before="20" w:after="20"/>
              <w:jc w:val="center"/>
              <w:rPr>
                <w:rFonts w:eastAsiaTheme="majorEastAsia"/>
                <w:b/>
                <w:sz w:val="21"/>
                <w:szCs w:val="21"/>
              </w:rPr>
            </w:pPr>
          </w:p>
        </w:tc>
        <w:tc>
          <w:tcPr>
            <w:tcW w:w="1620" w:type="dxa"/>
            <w:shd w:val="clear" w:color="auto" w:fill="FFFFFF" w:themeFill="background1"/>
          </w:tcPr>
          <w:p w14:paraId="5455D319" w14:textId="77777777" w:rsidR="00464D88" w:rsidRPr="003B4E76" w:rsidRDefault="00464D88" w:rsidP="00464D88">
            <w:pPr>
              <w:spacing w:before="20" w:after="20"/>
              <w:ind w:left="1"/>
              <w:jc w:val="left"/>
              <w:rPr>
                <w:rFonts w:cs="Arial"/>
                <w:b/>
                <w:sz w:val="21"/>
                <w:szCs w:val="21"/>
              </w:rPr>
            </w:pPr>
            <w:r w:rsidRPr="003B4E76">
              <w:rPr>
                <w:rFonts w:cs="Arial"/>
                <w:b/>
                <w:sz w:val="21"/>
                <w:szCs w:val="21"/>
              </w:rPr>
              <w:t>Homelessness</w:t>
            </w:r>
          </w:p>
        </w:tc>
        <w:tc>
          <w:tcPr>
            <w:tcW w:w="3965" w:type="dxa"/>
            <w:shd w:val="clear" w:color="auto" w:fill="FFFFFF" w:themeFill="background1"/>
          </w:tcPr>
          <w:p w14:paraId="7B903C74" w14:textId="77777777" w:rsidR="00464D88" w:rsidRPr="003B4E76" w:rsidRDefault="00464D88" w:rsidP="00464D88">
            <w:pPr>
              <w:spacing w:before="20" w:after="20"/>
              <w:jc w:val="left"/>
              <w:rPr>
                <w:rFonts w:eastAsiaTheme="majorEastAsia"/>
                <w:sz w:val="21"/>
                <w:szCs w:val="21"/>
              </w:rPr>
            </w:pPr>
            <w:r w:rsidRPr="003B4E76">
              <w:rPr>
                <w:rFonts w:eastAsiaTheme="majorEastAsia"/>
                <w:sz w:val="21"/>
                <w:szCs w:val="21"/>
              </w:rPr>
              <w:t>Number of unsheltered homeless individuals</w:t>
            </w:r>
          </w:p>
        </w:tc>
        <w:tc>
          <w:tcPr>
            <w:tcW w:w="990" w:type="dxa"/>
            <w:shd w:val="clear" w:color="auto" w:fill="FFFFFF" w:themeFill="background1"/>
          </w:tcPr>
          <w:p w14:paraId="3A240FC5" w14:textId="77777777" w:rsidR="00464D88" w:rsidRPr="003B4E76" w:rsidRDefault="00464D88" w:rsidP="00464D88">
            <w:pPr>
              <w:spacing w:before="20" w:after="20"/>
              <w:jc w:val="center"/>
              <w:rPr>
                <w:rFonts w:eastAsiaTheme="majorEastAsia"/>
                <w:sz w:val="21"/>
                <w:szCs w:val="21"/>
              </w:rPr>
            </w:pPr>
            <w:r w:rsidRPr="003B4E76">
              <w:rPr>
                <w:rFonts w:eastAsiaTheme="majorEastAsia"/>
                <w:sz w:val="21"/>
                <w:szCs w:val="21"/>
              </w:rPr>
              <w:t>2019</w:t>
            </w:r>
          </w:p>
        </w:tc>
        <w:tc>
          <w:tcPr>
            <w:tcW w:w="990" w:type="dxa"/>
            <w:shd w:val="clear" w:color="auto" w:fill="FFFFFF" w:themeFill="background1"/>
          </w:tcPr>
          <w:p w14:paraId="147DD82E" w14:textId="77777777" w:rsidR="00464D88" w:rsidRPr="003B4E76" w:rsidRDefault="00464D88" w:rsidP="00464D88">
            <w:pPr>
              <w:spacing w:before="20" w:after="20"/>
              <w:jc w:val="center"/>
              <w:rPr>
                <w:rFonts w:eastAsiaTheme="majorEastAsia"/>
                <w:sz w:val="21"/>
                <w:szCs w:val="21"/>
              </w:rPr>
            </w:pPr>
            <w:r>
              <w:rPr>
                <w:rFonts w:eastAsiaTheme="majorEastAsia"/>
                <w:sz w:val="21"/>
                <w:szCs w:val="21"/>
              </w:rPr>
              <w:t>Census Tract</w:t>
            </w:r>
          </w:p>
        </w:tc>
        <w:tc>
          <w:tcPr>
            <w:tcW w:w="5485" w:type="dxa"/>
            <w:shd w:val="clear" w:color="auto" w:fill="FFFFFF" w:themeFill="background1"/>
            <w:vAlign w:val="center"/>
          </w:tcPr>
          <w:p w14:paraId="61FC3BB6" w14:textId="7CAF65F2" w:rsidR="00464D88" w:rsidRPr="008F1E11" w:rsidRDefault="00464D88" w:rsidP="00945C67">
            <w:pPr>
              <w:spacing w:before="20" w:after="20"/>
              <w:jc w:val="center"/>
              <w:rPr>
                <w:rFonts w:eastAsiaTheme="majorEastAsia"/>
                <w:i/>
                <w:sz w:val="21"/>
                <w:szCs w:val="21"/>
              </w:rPr>
            </w:pPr>
            <w:proofErr w:type="spellStart"/>
            <w:r w:rsidRPr="008F1E11">
              <w:rPr>
                <w:rFonts w:eastAsiaTheme="majorEastAsia"/>
                <w:i/>
                <w:sz w:val="21"/>
                <w:szCs w:val="21"/>
              </w:rPr>
              <w:t>EveryOne</w:t>
            </w:r>
            <w:proofErr w:type="spellEnd"/>
            <w:r w:rsidRPr="008F1E11">
              <w:rPr>
                <w:rFonts w:eastAsiaTheme="majorEastAsia"/>
                <w:i/>
                <w:sz w:val="21"/>
                <w:szCs w:val="21"/>
              </w:rPr>
              <w:t xml:space="preserve"> Home</w:t>
            </w:r>
            <w:r w:rsidR="008F1E11" w:rsidRPr="008F1E11">
              <w:rPr>
                <w:rFonts w:eastAsiaTheme="majorEastAsia"/>
                <w:i/>
                <w:sz w:val="21"/>
                <w:szCs w:val="21"/>
              </w:rPr>
              <w:t>, 2019 Alameda County Homeless County Report</w:t>
            </w:r>
            <w:r w:rsidR="008F1E11">
              <w:rPr>
                <w:rFonts w:eastAsiaTheme="majorEastAsia"/>
                <w:i/>
                <w:sz w:val="21"/>
                <w:szCs w:val="21"/>
              </w:rPr>
              <w:t>.</w:t>
            </w:r>
          </w:p>
        </w:tc>
      </w:tr>
      <w:tr w:rsidR="00945C67" w:rsidRPr="003B4E76" w14:paraId="1370AD82" w14:textId="285EB95C" w:rsidTr="00945C67">
        <w:trPr>
          <w:trHeight w:val="282"/>
        </w:trPr>
        <w:tc>
          <w:tcPr>
            <w:tcW w:w="1350" w:type="dxa"/>
            <w:vMerge w:val="restart"/>
            <w:shd w:val="clear" w:color="auto" w:fill="DAEEF3" w:themeFill="accent5" w:themeFillTint="33"/>
          </w:tcPr>
          <w:p w14:paraId="7FBB621C" w14:textId="77777777" w:rsidR="00945C67" w:rsidRPr="003B4E76" w:rsidRDefault="00945C67" w:rsidP="00464D88">
            <w:pPr>
              <w:spacing w:before="20" w:after="20"/>
              <w:jc w:val="center"/>
              <w:rPr>
                <w:rFonts w:eastAsiaTheme="majorEastAsia"/>
                <w:b/>
                <w:sz w:val="21"/>
                <w:szCs w:val="21"/>
              </w:rPr>
            </w:pPr>
            <w:r w:rsidRPr="003B4E76">
              <w:rPr>
                <w:rFonts w:eastAsiaTheme="majorEastAsia"/>
                <w:b/>
                <w:sz w:val="21"/>
                <w:szCs w:val="21"/>
              </w:rPr>
              <w:t xml:space="preserve">Education </w:t>
            </w:r>
          </w:p>
        </w:tc>
        <w:tc>
          <w:tcPr>
            <w:tcW w:w="1620" w:type="dxa"/>
            <w:shd w:val="clear" w:color="auto" w:fill="DAEEF3" w:themeFill="accent5" w:themeFillTint="33"/>
          </w:tcPr>
          <w:p w14:paraId="52AFB73E" w14:textId="7F071289" w:rsidR="00945C67" w:rsidRPr="003B4E76" w:rsidRDefault="00945C67" w:rsidP="00464D88">
            <w:pPr>
              <w:spacing w:before="20" w:after="20"/>
              <w:ind w:left="1"/>
              <w:jc w:val="left"/>
              <w:rPr>
                <w:rFonts w:cs="Arial"/>
                <w:b/>
                <w:sz w:val="21"/>
                <w:szCs w:val="21"/>
              </w:rPr>
            </w:pPr>
            <w:r w:rsidRPr="003B4E76">
              <w:rPr>
                <w:rFonts w:cs="Arial"/>
                <w:b/>
                <w:sz w:val="21"/>
                <w:szCs w:val="21"/>
              </w:rPr>
              <w:t xml:space="preserve">Chronic </w:t>
            </w:r>
            <w:r>
              <w:rPr>
                <w:rFonts w:cs="Arial"/>
                <w:b/>
                <w:sz w:val="21"/>
                <w:szCs w:val="21"/>
              </w:rPr>
              <w:t>A</w:t>
            </w:r>
            <w:r w:rsidRPr="003B4E76">
              <w:rPr>
                <w:rFonts w:cs="Arial"/>
                <w:b/>
                <w:sz w:val="21"/>
                <w:szCs w:val="21"/>
              </w:rPr>
              <w:t>bsenteeism</w:t>
            </w:r>
          </w:p>
        </w:tc>
        <w:tc>
          <w:tcPr>
            <w:tcW w:w="3965" w:type="dxa"/>
            <w:shd w:val="clear" w:color="auto" w:fill="DAEEF3" w:themeFill="accent5" w:themeFillTint="33"/>
          </w:tcPr>
          <w:p w14:paraId="3A15B518" w14:textId="77777777" w:rsidR="00945C67" w:rsidRPr="003B4E76" w:rsidRDefault="00945C67" w:rsidP="00464D88">
            <w:pPr>
              <w:spacing w:before="20" w:after="20"/>
              <w:jc w:val="left"/>
              <w:rPr>
                <w:rFonts w:eastAsiaTheme="majorEastAsia"/>
                <w:sz w:val="21"/>
                <w:szCs w:val="21"/>
              </w:rPr>
            </w:pPr>
            <w:r w:rsidRPr="003B4E76">
              <w:rPr>
                <w:rFonts w:eastAsiaTheme="majorEastAsia"/>
                <w:sz w:val="21"/>
                <w:szCs w:val="21"/>
              </w:rPr>
              <w:t>Percent of students with chronic absenteeism</w:t>
            </w:r>
          </w:p>
        </w:tc>
        <w:tc>
          <w:tcPr>
            <w:tcW w:w="990" w:type="dxa"/>
            <w:vMerge w:val="restart"/>
            <w:shd w:val="clear" w:color="auto" w:fill="DAEEF3" w:themeFill="accent5" w:themeFillTint="33"/>
          </w:tcPr>
          <w:p w14:paraId="0A9D4A30" w14:textId="77777777" w:rsidR="00945C67" w:rsidRPr="003B4E76" w:rsidRDefault="00945C67" w:rsidP="00464D88">
            <w:pPr>
              <w:spacing w:before="20" w:after="20"/>
              <w:jc w:val="center"/>
              <w:rPr>
                <w:rFonts w:eastAsiaTheme="majorEastAsia"/>
                <w:sz w:val="21"/>
                <w:szCs w:val="21"/>
              </w:rPr>
            </w:pPr>
            <w:r w:rsidRPr="003B4E76">
              <w:rPr>
                <w:rFonts w:eastAsiaTheme="majorEastAsia"/>
                <w:sz w:val="21"/>
                <w:szCs w:val="21"/>
              </w:rPr>
              <w:t>2018-19 school year</w:t>
            </w:r>
          </w:p>
        </w:tc>
        <w:tc>
          <w:tcPr>
            <w:tcW w:w="990" w:type="dxa"/>
            <w:shd w:val="clear" w:color="auto" w:fill="DAEEF3" w:themeFill="accent5" w:themeFillTint="33"/>
          </w:tcPr>
          <w:p w14:paraId="4F33DB4B" w14:textId="77777777" w:rsidR="00945C67" w:rsidRPr="003B4E76" w:rsidRDefault="00945C67" w:rsidP="00464D88">
            <w:pPr>
              <w:spacing w:before="20" w:after="20"/>
              <w:jc w:val="center"/>
              <w:rPr>
                <w:rFonts w:eastAsiaTheme="majorEastAsia"/>
                <w:sz w:val="21"/>
                <w:szCs w:val="21"/>
              </w:rPr>
            </w:pPr>
            <w:r>
              <w:rPr>
                <w:rFonts w:eastAsiaTheme="majorEastAsia"/>
                <w:sz w:val="21"/>
                <w:szCs w:val="21"/>
              </w:rPr>
              <w:t>Census Tract</w:t>
            </w:r>
          </w:p>
        </w:tc>
        <w:tc>
          <w:tcPr>
            <w:tcW w:w="5485" w:type="dxa"/>
            <w:vMerge w:val="restart"/>
            <w:shd w:val="clear" w:color="auto" w:fill="DAEEF3" w:themeFill="accent5" w:themeFillTint="33"/>
            <w:vAlign w:val="center"/>
          </w:tcPr>
          <w:p w14:paraId="1E33A26A" w14:textId="45A50B6E" w:rsidR="00945C67" w:rsidRPr="00945C67" w:rsidRDefault="00945C67" w:rsidP="00945C67">
            <w:pPr>
              <w:spacing w:before="20" w:after="20"/>
              <w:jc w:val="center"/>
              <w:rPr>
                <w:rFonts w:eastAsiaTheme="majorEastAsia"/>
                <w:i/>
                <w:sz w:val="21"/>
                <w:szCs w:val="21"/>
              </w:rPr>
            </w:pPr>
            <w:r w:rsidRPr="00945C67">
              <w:rPr>
                <w:rFonts w:eastAsiaTheme="majorEastAsia"/>
                <w:i/>
                <w:sz w:val="21"/>
                <w:szCs w:val="21"/>
              </w:rPr>
              <w:t>Oakland Unified School District, 2019.</w:t>
            </w:r>
          </w:p>
        </w:tc>
      </w:tr>
      <w:tr w:rsidR="00945C67" w:rsidRPr="003B4E76" w14:paraId="2A0B4A61" w14:textId="0AF6AD0C" w:rsidTr="00945C67">
        <w:trPr>
          <w:cnfStyle w:val="000000100000" w:firstRow="0" w:lastRow="0" w:firstColumn="0" w:lastColumn="0" w:oddVBand="0" w:evenVBand="0" w:oddHBand="1" w:evenHBand="0" w:firstRowFirstColumn="0" w:firstRowLastColumn="0" w:lastRowFirstColumn="0" w:lastRowLastColumn="0"/>
          <w:trHeight w:val="281"/>
        </w:trPr>
        <w:tc>
          <w:tcPr>
            <w:tcW w:w="1350" w:type="dxa"/>
            <w:vMerge/>
          </w:tcPr>
          <w:p w14:paraId="64BCFEDC" w14:textId="77777777" w:rsidR="00945C67" w:rsidRPr="003B4E76" w:rsidRDefault="00945C67" w:rsidP="00464D88">
            <w:pPr>
              <w:spacing w:before="20" w:after="20"/>
              <w:jc w:val="center"/>
              <w:rPr>
                <w:rFonts w:eastAsiaTheme="majorEastAsia"/>
                <w:b/>
                <w:sz w:val="21"/>
                <w:szCs w:val="21"/>
              </w:rPr>
            </w:pPr>
          </w:p>
        </w:tc>
        <w:tc>
          <w:tcPr>
            <w:tcW w:w="1620" w:type="dxa"/>
          </w:tcPr>
          <w:p w14:paraId="418A2553" w14:textId="77777777" w:rsidR="00945C67" w:rsidRPr="003B4E76" w:rsidRDefault="00945C67" w:rsidP="00464D88">
            <w:pPr>
              <w:spacing w:before="20" w:after="20"/>
              <w:ind w:left="1"/>
              <w:jc w:val="left"/>
              <w:rPr>
                <w:rFonts w:cs="Arial"/>
                <w:b/>
                <w:sz w:val="21"/>
                <w:szCs w:val="21"/>
              </w:rPr>
            </w:pPr>
            <w:r w:rsidRPr="003B4E76">
              <w:rPr>
                <w:rFonts w:cs="Arial"/>
                <w:b/>
                <w:sz w:val="21"/>
                <w:szCs w:val="21"/>
              </w:rPr>
              <w:t>Suspensions</w:t>
            </w:r>
          </w:p>
        </w:tc>
        <w:tc>
          <w:tcPr>
            <w:tcW w:w="3965" w:type="dxa"/>
          </w:tcPr>
          <w:p w14:paraId="6BC6AE1A" w14:textId="77777777" w:rsidR="00945C67" w:rsidRPr="003B4E76" w:rsidRDefault="00945C67" w:rsidP="00464D88">
            <w:pPr>
              <w:spacing w:before="20" w:after="20"/>
              <w:jc w:val="left"/>
              <w:rPr>
                <w:rFonts w:eastAsiaTheme="majorEastAsia"/>
                <w:sz w:val="21"/>
                <w:szCs w:val="21"/>
              </w:rPr>
            </w:pPr>
            <w:r w:rsidRPr="003B4E76">
              <w:rPr>
                <w:rFonts w:eastAsiaTheme="majorEastAsia"/>
                <w:sz w:val="21"/>
                <w:szCs w:val="21"/>
              </w:rPr>
              <w:t xml:space="preserve">Number of suspensions per 1,000 students </w:t>
            </w:r>
          </w:p>
        </w:tc>
        <w:tc>
          <w:tcPr>
            <w:tcW w:w="990" w:type="dxa"/>
            <w:vMerge/>
          </w:tcPr>
          <w:p w14:paraId="0F1DBF43" w14:textId="77777777" w:rsidR="00945C67" w:rsidRPr="003B4E76" w:rsidRDefault="00945C67" w:rsidP="00464D88">
            <w:pPr>
              <w:spacing w:before="20" w:after="20"/>
              <w:jc w:val="center"/>
              <w:rPr>
                <w:rFonts w:eastAsiaTheme="majorEastAsia"/>
                <w:sz w:val="21"/>
                <w:szCs w:val="21"/>
              </w:rPr>
            </w:pPr>
          </w:p>
        </w:tc>
        <w:tc>
          <w:tcPr>
            <w:tcW w:w="990" w:type="dxa"/>
          </w:tcPr>
          <w:p w14:paraId="033F2F6E" w14:textId="77777777" w:rsidR="00945C67" w:rsidRPr="003B4E76" w:rsidRDefault="00945C67" w:rsidP="00464D88">
            <w:pPr>
              <w:spacing w:before="20" w:after="20"/>
              <w:jc w:val="center"/>
              <w:rPr>
                <w:rFonts w:eastAsiaTheme="majorEastAsia"/>
                <w:sz w:val="21"/>
                <w:szCs w:val="21"/>
              </w:rPr>
            </w:pPr>
            <w:r>
              <w:rPr>
                <w:rFonts w:eastAsiaTheme="majorEastAsia"/>
                <w:sz w:val="21"/>
                <w:szCs w:val="21"/>
              </w:rPr>
              <w:t>Census Tract</w:t>
            </w:r>
          </w:p>
        </w:tc>
        <w:tc>
          <w:tcPr>
            <w:tcW w:w="5485" w:type="dxa"/>
            <w:vMerge/>
            <w:vAlign w:val="center"/>
          </w:tcPr>
          <w:p w14:paraId="656F6CDF" w14:textId="77777777" w:rsidR="00945C67" w:rsidRDefault="00945C67" w:rsidP="00945C67">
            <w:pPr>
              <w:spacing w:before="20" w:after="20"/>
              <w:jc w:val="left"/>
              <w:rPr>
                <w:rFonts w:eastAsiaTheme="majorEastAsia"/>
                <w:sz w:val="21"/>
                <w:szCs w:val="21"/>
              </w:rPr>
            </w:pPr>
          </w:p>
        </w:tc>
      </w:tr>
      <w:tr w:rsidR="00945C67" w:rsidRPr="003B4E76" w14:paraId="557FE697" w14:textId="64C5A37D" w:rsidTr="00945C67">
        <w:trPr>
          <w:trHeight w:val="281"/>
        </w:trPr>
        <w:tc>
          <w:tcPr>
            <w:tcW w:w="1350" w:type="dxa"/>
            <w:vMerge/>
            <w:shd w:val="clear" w:color="auto" w:fill="DAEEF3" w:themeFill="accent5" w:themeFillTint="33"/>
          </w:tcPr>
          <w:p w14:paraId="0E3146A8" w14:textId="77777777" w:rsidR="00945C67" w:rsidRPr="003B4E76" w:rsidRDefault="00945C67" w:rsidP="00464D88">
            <w:pPr>
              <w:spacing w:before="20" w:after="20"/>
              <w:jc w:val="center"/>
              <w:rPr>
                <w:rFonts w:eastAsiaTheme="majorEastAsia"/>
                <w:b/>
                <w:sz w:val="21"/>
                <w:szCs w:val="21"/>
              </w:rPr>
            </w:pPr>
          </w:p>
        </w:tc>
        <w:tc>
          <w:tcPr>
            <w:tcW w:w="1620" w:type="dxa"/>
            <w:shd w:val="clear" w:color="auto" w:fill="DAEEF3" w:themeFill="accent5" w:themeFillTint="33"/>
          </w:tcPr>
          <w:p w14:paraId="1370563A" w14:textId="77777777" w:rsidR="00945C67" w:rsidRPr="003B4E76" w:rsidRDefault="00945C67" w:rsidP="00464D88">
            <w:pPr>
              <w:spacing w:before="20" w:after="20"/>
              <w:ind w:left="1"/>
              <w:jc w:val="left"/>
              <w:rPr>
                <w:rFonts w:cs="Arial"/>
                <w:b/>
                <w:sz w:val="21"/>
                <w:szCs w:val="21"/>
              </w:rPr>
            </w:pPr>
            <w:r w:rsidRPr="003B4E76">
              <w:rPr>
                <w:rFonts w:cs="Arial"/>
                <w:b/>
                <w:sz w:val="21"/>
                <w:szCs w:val="21"/>
              </w:rPr>
              <w:t>High School Graduation Rate</w:t>
            </w:r>
          </w:p>
        </w:tc>
        <w:tc>
          <w:tcPr>
            <w:tcW w:w="3965" w:type="dxa"/>
            <w:shd w:val="clear" w:color="auto" w:fill="DAEEF3" w:themeFill="accent5" w:themeFillTint="33"/>
          </w:tcPr>
          <w:p w14:paraId="57A8B594" w14:textId="77777777" w:rsidR="00945C67" w:rsidRPr="003B4E76" w:rsidRDefault="00945C67" w:rsidP="00464D88">
            <w:pPr>
              <w:spacing w:before="20" w:after="20"/>
              <w:jc w:val="left"/>
              <w:rPr>
                <w:rFonts w:eastAsiaTheme="majorEastAsia"/>
                <w:sz w:val="21"/>
                <w:szCs w:val="21"/>
              </w:rPr>
            </w:pPr>
            <w:r w:rsidRPr="003B4E76">
              <w:rPr>
                <w:rFonts w:eastAsiaTheme="majorEastAsia"/>
                <w:sz w:val="21"/>
                <w:szCs w:val="21"/>
              </w:rPr>
              <w:t xml:space="preserve">Percent of students who did not graduate from high school </w:t>
            </w:r>
          </w:p>
        </w:tc>
        <w:tc>
          <w:tcPr>
            <w:tcW w:w="990" w:type="dxa"/>
            <w:vMerge/>
            <w:shd w:val="clear" w:color="auto" w:fill="DAEEF3" w:themeFill="accent5" w:themeFillTint="33"/>
          </w:tcPr>
          <w:p w14:paraId="158E9907" w14:textId="77777777" w:rsidR="00945C67" w:rsidRPr="003B4E76" w:rsidRDefault="00945C67" w:rsidP="00464D88">
            <w:pPr>
              <w:spacing w:before="20" w:after="20"/>
              <w:jc w:val="center"/>
              <w:rPr>
                <w:rFonts w:eastAsiaTheme="majorEastAsia"/>
                <w:sz w:val="21"/>
                <w:szCs w:val="21"/>
              </w:rPr>
            </w:pPr>
          </w:p>
        </w:tc>
        <w:tc>
          <w:tcPr>
            <w:tcW w:w="990" w:type="dxa"/>
            <w:shd w:val="clear" w:color="auto" w:fill="DAEEF3" w:themeFill="accent5" w:themeFillTint="33"/>
          </w:tcPr>
          <w:p w14:paraId="1A915BEA" w14:textId="77777777" w:rsidR="00945C67" w:rsidRPr="003B4E76" w:rsidRDefault="00945C67" w:rsidP="00464D88">
            <w:pPr>
              <w:spacing w:before="20" w:after="20"/>
              <w:jc w:val="center"/>
              <w:rPr>
                <w:rFonts w:eastAsiaTheme="majorEastAsia"/>
                <w:sz w:val="21"/>
                <w:szCs w:val="21"/>
              </w:rPr>
            </w:pPr>
            <w:r>
              <w:rPr>
                <w:rFonts w:eastAsiaTheme="majorEastAsia"/>
                <w:sz w:val="21"/>
                <w:szCs w:val="21"/>
              </w:rPr>
              <w:t>Census Tract</w:t>
            </w:r>
          </w:p>
        </w:tc>
        <w:tc>
          <w:tcPr>
            <w:tcW w:w="5485" w:type="dxa"/>
            <w:vMerge/>
            <w:shd w:val="clear" w:color="auto" w:fill="DAEEF3" w:themeFill="accent5" w:themeFillTint="33"/>
            <w:vAlign w:val="center"/>
          </w:tcPr>
          <w:p w14:paraId="59370439" w14:textId="77777777" w:rsidR="00945C67" w:rsidRDefault="00945C67" w:rsidP="00945C67">
            <w:pPr>
              <w:spacing w:before="20" w:after="20"/>
              <w:jc w:val="left"/>
              <w:rPr>
                <w:rFonts w:eastAsiaTheme="majorEastAsia"/>
                <w:sz w:val="21"/>
                <w:szCs w:val="21"/>
              </w:rPr>
            </w:pPr>
          </w:p>
        </w:tc>
      </w:tr>
      <w:tr w:rsidR="00945C67" w:rsidRPr="003B4E76" w14:paraId="2E4D09F8" w14:textId="4BDB1D4B" w:rsidTr="00945C67">
        <w:trPr>
          <w:cnfStyle w:val="000000100000" w:firstRow="0" w:lastRow="0" w:firstColumn="0" w:lastColumn="0" w:oddVBand="0" w:evenVBand="0" w:oddHBand="1" w:evenHBand="0" w:firstRowFirstColumn="0" w:firstRowLastColumn="0" w:lastRowFirstColumn="0" w:lastRowLastColumn="0"/>
          <w:trHeight w:val="281"/>
        </w:trPr>
        <w:tc>
          <w:tcPr>
            <w:tcW w:w="1350" w:type="dxa"/>
            <w:vMerge/>
          </w:tcPr>
          <w:p w14:paraId="26BE0CBE" w14:textId="77777777" w:rsidR="00945C67" w:rsidRPr="003B4E76" w:rsidRDefault="00945C67" w:rsidP="00464D88">
            <w:pPr>
              <w:spacing w:before="20" w:after="20"/>
              <w:jc w:val="center"/>
              <w:rPr>
                <w:rFonts w:eastAsiaTheme="majorEastAsia"/>
                <w:b/>
                <w:sz w:val="21"/>
                <w:szCs w:val="21"/>
              </w:rPr>
            </w:pPr>
          </w:p>
        </w:tc>
        <w:tc>
          <w:tcPr>
            <w:tcW w:w="1620" w:type="dxa"/>
          </w:tcPr>
          <w:p w14:paraId="63FB9F5A" w14:textId="77777777" w:rsidR="00945C67" w:rsidRPr="003B4E76" w:rsidRDefault="00945C67" w:rsidP="00464D88">
            <w:pPr>
              <w:spacing w:before="20" w:after="20"/>
              <w:ind w:left="1"/>
              <w:jc w:val="left"/>
              <w:rPr>
                <w:rFonts w:cs="Arial"/>
                <w:b/>
                <w:sz w:val="21"/>
                <w:szCs w:val="21"/>
              </w:rPr>
            </w:pPr>
            <w:r w:rsidRPr="003B4E76">
              <w:rPr>
                <w:rFonts w:cs="Arial"/>
                <w:b/>
                <w:sz w:val="21"/>
                <w:szCs w:val="21"/>
              </w:rPr>
              <w:t>Third Grade Reading Level</w:t>
            </w:r>
          </w:p>
        </w:tc>
        <w:tc>
          <w:tcPr>
            <w:tcW w:w="3965" w:type="dxa"/>
          </w:tcPr>
          <w:p w14:paraId="471D20BA" w14:textId="77777777" w:rsidR="00945C67" w:rsidRPr="003B4E76" w:rsidRDefault="00945C67" w:rsidP="00464D88">
            <w:pPr>
              <w:spacing w:before="20" w:after="20"/>
              <w:jc w:val="left"/>
              <w:rPr>
                <w:rFonts w:eastAsiaTheme="majorEastAsia"/>
                <w:sz w:val="21"/>
                <w:szCs w:val="21"/>
              </w:rPr>
            </w:pPr>
            <w:r w:rsidRPr="003B4E76">
              <w:rPr>
                <w:rFonts w:eastAsiaTheme="majorEastAsia"/>
                <w:sz w:val="21"/>
                <w:szCs w:val="21"/>
              </w:rPr>
              <w:t>Percent of students below third grade reading level</w:t>
            </w:r>
          </w:p>
        </w:tc>
        <w:tc>
          <w:tcPr>
            <w:tcW w:w="990" w:type="dxa"/>
            <w:vMerge/>
          </w:tcPr>
          <w:p w14:paraId="3C2673F2" w14:textId="77777777" w:rsidR="00945C67" w:rsidRPr="003B4E76" w:rsidRDefault="00945C67" w:rsidP="00464D88">
            <w:pPr>
              <w:spacing w:before="20" w:after="20"/>
              <w:jc w:val="center"/>
              <w:rPr>
                <w:rFonts w:eastAsiaTheme="majorEastAsia"/>
                <w:sz w:val="21"/>
                <w:szCs w:val="21"/>
              </w:rPr>
            </w:pPr>
          </w:p>
        </w:tc>
        <w:tc>
          <w:tcPr>
            <w:tcW w:w="990" w:type="dxa"/>
          </w:tcPr>
          <w:p w14:paraId="2A3AD6BE" w14:textId="77777777" w:rsidR="00945C67" w:rsidRPr="003B4E76" w:rsidRDefault="00945C67" w:rsidP="00464D88">
            <w:pPr>
              <w:spacing w:before="20" w:after="20"/>
              <w:jc w:val="center"/>
              <w:rPr>
                <w:rFonts w:eastAsiaTheme="majorEastAsia"/>
                <w:sz w:val="21"/>
                <w:szCs w:val="21"/>
              </w:rPr>
            </w:pPr>
            <w:r>
              <w:rPr>
                <w:rFonts w:eastAsiaTheme="majorEastAsia"/>
                <w:sz w:val="21"/>
                <w:szCs w:val="21"/>
              </w:rPr>
              <w:t>Census Tract</w:t>
            </w:r>
          </w:p>
        </w:tc>
        <w:tc>
          <w:tcPr>
            <w:tcW w:w="5485" w:type="dxa"/>
            <w:vMerge/>
            <w:vAlign w:val="center"/>
          </w:tcPr>
          <w:p w14:paraId="448948AB" w14:textId="77777777" w:rsidR="00945C67" w:rsidRDefault="00945C67" w:rsidP="00945C67">
            <w:pPr>
              <w:spacing w:before="20" w:after="20"/>
              <w:jc w:val="left"/>
              <w:rPr>
                <w:rFonts w:eastAsiaTheme="majorEastAsia"/>
                <w:sz w:val="21"/>
                <w:szCs w:val="21"/>
              </w:rPr>
            </w:pPr>
          </w:p>
        </w:tc>
      </w:tr>
      <w:tr w:rsidR="00464D88" w:rsidRPr="003B4E76" w14:paraId="48549D9C" w14:textId="7AAAB4CF" w:rsidTr="00945C67">
        <w:trPr>
          <w:trHeight w:val="70"/>
        </w:trPr>
        <w:tc>
          <w:tcPr>
            <w:tcW w:w="1350" w:type="dxa"/>
            <w:vMerge w:val="restart"/>
            <w:shd w:val="clear" w:color="auto" w:fill="FFFFFF" w:themeFill="background1"/>
          </w:tcPr>
          <w:p w14:paraId="5C844BDB" w14:textId="77777777" w:rsidR="00464D88" w:rsidRPr="003B4E76" w:rsidRDefault="00464D88" w:rsidP="00464D88">
            <w:pPr>
              <w:spacing w:before="20" w:after="20"/>
              <w:jc w:val="center"/>
              <w:rPr>
                <w:rFonts w:eastAsiaTheme="majorEastAsia"/>
                <w:b/>
                <w:sz w:val="21"/>
                <w:szCs w:val="21"/>
              </w:rPr>
            </w:pPr>
            <w:r w:rsidRPr="003B4E76">
              <w:rPr>
                <w:rFonts w:eastAsiaTheme="majorEastAsia"/>
                <w:b/>
                <w:sz w:val="21"/>
                <w:szCs w:val="21"/>
              </w:rPr>
              <w:t>Poverty</w:t>
            </w:r>
          </w:p>
        </w:tc>
        <w:tc>
          <w:tcPr>
            <w:tcW w:w="1620" w:type="dxa"/>
            <w:shd w:val="clear" w:color="auto" w:fill="FFFFFF" w:themeFill="background1"/>
          </w:tcPr>
          <w:p w14:paraId="5A5EE573" w14:textId="77777777" w:rsidR="00464D88" w:rsidRPr="003B4E76" w:rsidRDefault="00464D88" w:rsidP="00464D88">
            <w:pPr>
              <w:spacing w:before="20" w:after="20"/>
              <w:ind w:left="1"/>
              <w:jc w:val="left"/>
              <w:rPr>
                <w:rFonts w:cs="Arial"/>
                <w:b/>
                <w:sz w:val="21"/>
                <w:szCs w:val="21"/>
              </w:rPr>
            </w:pPr>
            <w:r w:rsidRPr="003B4E76">
              <w:rPr>
                <w:rFonts w:cs="Arial"/>
                <w:b/>
                <w:sz w:val="21"/>
                <w:szCs w:val="21"/>
              </w:rPr>
              <w:t>Unemployment Rate</w:t>
            </w:r>
          </w:p>
        </w:tc>
        <w:tc>
          <w:tcPr>
            <w:tcW w:w="3965" w:type="dxa"/>
            <w:shd w:val="clear" w:color="auto" w:fill="FFFFFF" w:themeFill="background1"/>
          </w:tcPr>
          <w:p w14:paraId="05956544" w14:textId="77777777" w:rsidR="00464D88" w:rsidRPr="003B4E76" w:rsidRDefault="00464D88" w:rsidP="00464D88">
            <w:pPr>
              <w:spacing w:before="20" w:after="20"/>
              <w:jc w:val="left"/>
              <w:rPr>
                <w:rFonts w:eastAsiaTheme="majorEastAsia"/>
                <w:sz w:val="21"/>
                <w:szCs w:val="21"/>
              </w:rPr>
            </w:pPr>
            <w:r w:rsidRPr="003B4E76">
              <w:rPr>
                <w:rFonts w:eastAsiaTheme="majorEastAsia"/>
                <w:sz w:val="21"/>
                <w:szCs w:val="21"/>
              </w:rPr>
              <w:t>Percentage of the civilian labor force not employed</w:t>
            </w:r>
          </w:p>
        </w:tc>
        <w:tc>
          <w:tcPr>
            <w:tcW w:w="990" w:type="dxa"/>
            <w:shd w:val="clear" w:color="auto" w:fill="FFFFFF" w:themeFill="background1"/>
          </w:tcPr>
          <w:p w14:paraId="618CD235" w14:textId="77777777" w:rsidR="00464D88" w:rsidRPr="003B4E76" w:rsidRDefault="00464D88" w:rsidP="00464D88">
            <w:pPr>
              <w:spacing w:before="20" w:after="20"/>
              <w:jc w:val="center"/>
              <w:rPr>
                <w:rFonts w:eastAsiaTheme="majorEastAsia"/>
                <w:sz w:val="21"/>
                <w:szCs w:val="21"/>
              </w:rPr>
            </w:pPr>
            <w:r w:rsidRPr="003B4E76">
              <w:rPr>
                <w:rFonts w:eastAsiaTheme="majorEastAsia"/>
                <w:sz w:val="21"/>
                <w:szCs w:val="21"/>
              </w:rPr>
              <w:t>2017</w:t>
            </w:r>
          </w:p>
        </w:tc>
        <w:tc>
          <w:tcPr>
            <w:tcW w:w="990" w:type="dxa"/>
            <w:shd w:val="clear" w:color="auto" w:fill="FFFFFF" w:themeFill="background1"/>
          </w:tcPr>
          <w:p w14:paraId="72692F9D" w14:textId="77777777" w:rsidR="00464D88" w:rsidRPr="003B4E76" w:rsidRDefault="00464D88" w:rsidP="00464D88">
            <w:pPr>
              <w:spacing w:before="20" w:after="20"/>
              <w:jc w:val="center"/>
              <w:rPr>
                <w:rFonts w:eastAsiaTheme="majorEastAsia"/>
                <w:sz w:val="21"/>
                <w:szCs w:val="21"/>
              </w:rPr>
            </w:pPr>
            <w:r>
              <w:rPr>
                <w:rFonts w:eastAsiaTheme="majorEastAsia"/>
                <w:sz w:val="21"/>
                <w:szCs w:val="21"/>
              </w:rPr>
              <w:t>Census Tract</w:t>
            </w:r>
          </w:p>
        </w:tc>
        <w:tc>
          <w:tcPr>
            <w:tcW w:w="5485" w:type="dxa"/>
            <w:shd w:val="clear" w:color="auto" w:fill="FFFFFF" w:themeFill="background1"/>
            <w:vAlign w:val="center"/>
          </w:tcPr>
          <w:p w14:paraId="1285CFD9" w14:textId="2938B166" w:rsidR="00464D88" w:rsidRDefault="00945C67" w:rsidP="00945C67">
            <w:pPr>
              <w:spacing w:before="20" w:after="20"/>
              <w:jc w:val="center"/>
              <w:rPr>
                <w:rFonts w:eastAsiaTheme="majorEastAsia"/>
                <w:sz w:val="21"/>
                <w:szCs w:val="21"/>
              </w:rPr>
            </w:pPr>
            <w:r w:rsidRPr="00516E98">
              <w:rPr>
                <w:rFonts w:eastAsiaTheme="majorEastAsia"/>
                <w:i/>
                <w:sz w:val="21"/>
                <w:szCs w:val="21"/>
              </w:rPr>
              <w:t xml:space="preserve">U.S. Census Bureau American Community Survey, 2017 American Community Survey 5 Year Estimates. Table </w:t>
            </w:r>
            <w:r>
              <w:rPr>
                <w:rFonts w:eastAsiaTheme="majorEastAsia"/>
                <w:i/>
                <w:sz w:val="21"/>
                <w:szCs w:val="21"/>
              </w:rPr>
              <w:t>S2301</w:t>
            </w:r>
            <w:r w:rsidRPr="00516E98">
              <w:rPr>
                <w:rFonts w:eastAsiaTheme="majorEastAsia"/>
                <w:i/>
                <w:sz w:val="21"/>
                <w:szCs w:val="21"/>
              </w:rPr>
              <w:t>.</w:t>
            </w:r>
          </w:p>
        </w:tc>
      </w:tr>
      <w:tr w:rsidR="00464D88" w:rsidRPr="003B4E76" w14:paraId="06FF9B90" w14:textId="270277E3" w:rsidTr="00945C67">
        <w:trPr>
          <w:cnfStyle w:val="000000100000" w:firstRow="0" w:lastRow="0" w:firstColumn="0" w:lastColumn="0" w:oddVBand="0" w:evenVBand="0" w:oddHBand="1" w:evenHBand="0" w:firstRowFirstColumn="0" w:firstRowLastColumn="0" w:lastRowFirstColumn="0" w:lastRowLastColumn="0"/>
          <w:trHeight w:val="242"/>
        </w:trPr>
        <w:tc>
          <w:tcPr>
            <w:tcW w:w="1350" w:type="dxa"/>
            <w:vMerge/>
            <w:shd w:val="clear" w:color="auto" w:fill="FFFFFF" w:themeFill="background1"/>
          </w:tcPr>
          <w:p w14:paraId="712F4202" w14:textId="77777777" w:rsidR="00464D88" w:rsidRPr="003B4E76" w:rsidRDefault="00464D88" w:rsidP="00464D88">
            <w:pPr>
              <w:spacing w:before="20" w:after="20"/>
              <w:jc w:val="center"/>
              <w:rPr>
                <w:rFonts w:eastAsiaTheme="majorEastAsia"/>
                <w:b/>
                <w:sz w:val="21"/>
                <w:szCs w:val="21"/>
              </w:rPr>
            </w:pPr>
          </w:p>
        </w:tc>
        <w:tc>
          <w:tcPr>
            <w:tcW w:w="1620" w:type="dxa"/>
            <w:shd w:val="clear" w:color="auto" w:fill="FFFFFF" w:themeFill="background1"/>
          </w:tcPr>
          <w:p w14:paraId="3D044CD9" w14:textId="77777777" w:rsidR="00464D88" w:rsidRPr="003B4E76" w:rsidRDefault="00464D88" w:rsidP="00464D88">
            <w:pPr>
              <w:spacing w:before="20" w:after="20"/>
              <w:ind w:left="1"/>
              <w:jc w:val="left"/>
              <w:rPr>
                <w:rFonts w:cs="Arial"/>
                <w:b/>
                <w:sz w:val="21"/>
                <w:szCs w:val="21"/>
              </w:rPr>
            </w:pPr>
            <w:r w:rsidRPr="003B4E76">
              <w:rPr>
                <w:rFonts w:cs="Arial"/>
                <w:b/>
                <w:sz w:val="21"/>
                <w:szCs w:val="21"/>
              </w:rPr>
              <w:t>Use of Free and Reduced Meals</w:t>
            </w:r>
          </w:p>
        </w:tc>
        <w:tc>
          <w:tcPr>
            <w:tcW w:w="3965" w:type="dxa"/>
            <w:shd w:val="clear" w:color="auto" w:fill="FFFFFF" w:themeFill="background1"/>
          </w:tcPr>
          <w:p w14:paraId="69050010" w14:textId="77777777" w:rsidR="00464D88" w:rsidRPr="003B4E76" w:rsidRDefault="00464D88" w:rsidP="00464D88">
            <w:pPr>
              <w:spacing w:before="20" w:after="20"/>
              <w:jc w:val="left"/>
              <w:rPr>
                <w:rFonts w:eastAsiaTheme="majorEastAsia"/>
                <w:sz w:val="21"/>
                <w:szCs w:val="21"/>
              </w:rPr>
            </w:pPr>
            <w:r w:rsidRPr="003B4E76">
              <w:rPr>
                <w:rFonts w:eastAsiaTheme="majorEastAsia"/>
                <w:sz w:val="21"/>
                <w:szCs w:val="21"/>
              </w:rPr>
              <w:t>Percent of students eligible for free or reduced lunch</w:t>
            </w:r>
          </w:p>
        </w:tc>
        <w:tc>
          <w:tcPr>
            <w:tcW w:w="990" w:type="dxa"/>
            <w:shd w:val="clear" w:color="auto" w:fill="FFFFFF" w:themeFill="background1"/>
          </w:tcPr>
          <w:p w14:paraId="5DF0220C" w14:textId="77777777" w:rsidR="00464D88" w:rsidRPr="003B4E76" w:rsidRDefault="00464D88" w:rsidP="00464D88">
            <w:pPr>
              <w:spacing w:before="20" w:after="20"/>
              <w:jc w:val="center"/>
              <w:rPr>
                <w:rFonts w:eastAsiaTheme="majorEastAsia"/>
                <w:sz w:val="21"/>
                <w:szCs w:val="21"/>
              </w:rPr>
            </w:pPr>
            <w:r w:rsidRPr="003B4E76">
              <w:rPr>
                <w:rFonts w:eastAsiaTheme="majorEastAsia"/>
                <w:sz w:val="21"/>
                <w:szCs w:val="21"/>
              </w:rPr>
              <w:t>2018-19 school year</w:t>
            </w:r>
          </w:p>
        </w:tc>
        <w:tc>
          <w:tcPr>
            <w:tcW w:w="990" w:type="dxa"/>
            <w:shd w:val="clear" w:color="auto" w:fill="FFFFFF" w:themeFill="background1"/>
          </w:tcPr>
          <w:p w14:paraId="60570FA2" w14:textId="77777777" w:rsidR="00464D88" w:rsidRPr="003B4E76" w:rsidRDefault="00464D88" w:rsidP="00464D88">
            <w:pPr>
              <w:spacing w:before="20" w:after="20"/>
              <w:jc w:val="center"/>
              <w:rPr>
                <w:rFonts w:eastAsiaTheme="majorEastAsia"/>
                <w:sz w:val="21"/>
                <w:szCs w:val="21"/>
              </w:rPr>
            </w:pPr>
            <w:r>
              <w:rPr>
                <w:rFonts w:eastAsiaTheme="majorEastAsia"/>
                <w:sz w:val="21"/>
                <w:szCs w:val="21"/>
              </w:rPr>
              <w:t>Census Tract</w:t>
            </w:r>
          </w:p>
        </w:tc>
        <w:tc>
          <w:tcPr>
            <w:tcW w:w="5485" w:type="dxa"/>
            <w:shd w:val="clear" w:color="auto" w:fill="FFFFFF" w:themeFill="background1"/>
            <w:vAlign w:val="center"/>
          </w:tcPr>
          <w:p w14:paraId="79FFE19B" w14:textId="438D6F05" w:rsidR="00464D88" w:rsidRDefault="00945C67" w:rsidP="00945C67">
            <w:pPr>
              <w:spacing w:before="20" w:after="20"/>
              <w:jc w:val="center"/>
              <w:rPr>
                <w:rFonts w:eastAsiaTheme="majorEastAsia"/>
                <w:sz w:val="21"/>
                <w:szCs w:val="21"/>
              </w:rPr>
            </w:pPr>
            <w:r w:rsidRPr="00945C67">
              <w:rPr>
                <w:rFonts w:eastAsiaTheme="majorEastAsia"/>
                <w:i/>
                <w:sz w:val="21"/>
                <w:szCs w:val="21"/>
              </w:rPr>
              <w:t>Oakland Unified School District, 2019.</w:t>
            </w:r>
          </w:p>
        </w:tc>
      </w:tr>
      <w:tr w:rsidR="00464D88" w:rsidRPr="003B4E76" w14:paraId="4668D6DA" w14:textId="289373E8" w:rsidTr="00945C67">
        <w:trPr>
          <w:trHeight w:val="288"/>
        </w:trPr>
        <w:tc>
          <w:tcPr>
            <w:tcW w:w="1350" w:type="dxa"/>
            <w:vMerge/>
            <w:shd w:val="clear" w:color="auto" w:fill="FFFFFF" w:themeFill="background1"/>
          </w:tcPr>
          <w:p w14:paraId="16FF9165" w14:textId="77777777" w:rsidR="00464D88" w:rsidRPr="003B4E76" w:rsidRDefault="00464D88" w:rsidP="00464D88">
            <w:pPr>
              <w:spacing w:before="20" w:after="20"/>
              <w:jc w:val="center"/>
              <w:rPr>
                <w:rFonts w:eastAsiaTheme="majorEastAsia"/>
                <w:b/>
                <w:sz w:val="21"/>
                <w:szCs w:val="21"/>
              </w:rPr>
            </w:pPr>
          </w:p>
        </w:tc>
        <w:tc>
          <w:tcPr>
            <w:tcW w:w="1620" w:type="dxa"/>
            <w:shd w:val="clear" w:color="auto" w:fill="FFFFFF" w:themeFill="background1"/>
          </w:tcPr>
          <w:p w14:paraId="65799E5D" w14:textId="77777777" w:rsidR="00464D88" w:rsidRPr="003B4E76" w:rsidRDefault="00464D88" w:rsidP="00464D88">
            <w:pPr>
              <w:spacing w:before="20" w:after="20"/>
              <w:ind w:left="1"/>
              <w:jc w:val="left"/>
              <w:rPr>
                <w:rFonts w:cs="Arial"/>
                <w:b/>
                <w:sz w:val="21"/>
                <w:szCs w:val="21"/>
              </w:rPr>
            </w:pPr>
            <w:r w:rsidRPr="003B4E76">
              <w:rPr>
                <w:rFonts w:cs="Arial"/>
                <w:b/>
                <w:sz w:val="21"/>
                <w:szCs w:val="21"/>
              </w:rPr>
              <w:t>Food stamp recipients</w:t>
            </w:r>
          </w:p>
        </w:tc>
        <w:tc>
          <w:tcPr>
            <w:tcW w:w="3965" w:type="dxa"/>
            <w:shd w:val="clear" w:color="auto" w:fill="FFFFFF" w:themeFill="background1"/>
          </w:tcPr>
          <w:p w14:paraId="05BD4B5A" w14:textId="77777777" w:rsidR="00464D88" w:rsidRPr="003B4E76" w:rsidRDefault="00464D88" w:rsidP="00464D88">
            <w:pPr>
              <w:spacing w:before="20" w:after="20"/>
              <w:jc w:val="left"/>
              <w:rPr>
                <w:rFonts w:eastAsiaTheme="majorEastAsia"/>
                <w:sz w:val="21"/>
                <w:szCs w:val="21"/>
              </w:rPr>
            </w:pPr>
            <w:r w:rsidRPr="003B4E76">
              <w:rPr>
                <w:rFonts w:eastAsiaTheme="majorEastAsia"/>
                <w:sz w:val="21"/>
                <w:szCs w:val="21"/>
              </w:rPr>
              <w:t>Percent of households receive food stamp/SNAP within past year</w:t>
            </w:r>
          </w:p>
        </w:tc>
        <w:tc>
          <w:tcPr>
            <w:tcW w:w="990" w:type="dxa"/>
            <w:shd w:val="clear" w:color="auto" w:fill="FFFFFF" w:themeFill="background1"/>
          </w:tcPr>
          <w:p w14:paraId="0DAD1D0C" w14:textId="77777777" w:rsidR="00464D88" w:rsidRPr="003B4E76" w:rsidRDefault="00464D88" w:rsidP="00464D88">
            <w:pPr>
              <w:spacing w:before="20" w:after="20"/>
              <w:jc w:val="center"/>
              <w:rPr>
                <w:rFonts w:eastAsiaTheme="majorEastAsia"/>
                <w:sz w:val="21"/>
                <w:szCs w:val="21"/>
              </w:rPr>
            </w:pPr>
            <w:r w:rsidRPr="003B4E76">
              <w:rPr>
                <w:rFonts w:eastAsiaTheme="majorEastAsia"/>
                <w:sz w:val="21"/>
                <w:szCs w:val="21"/>
              </w:rPr>
              <w:t>2017</w:t>
            </w:r>
          </w:p>
        </w:tc>
        <w:tc>
          <w:tcPr>
            <w:tcW w:w="990" w:type="dxa"/>
            <w:shd w:val="clear" w:color="auto" w:fill="FFFFFF" w:themeFill="background1"/>
          </w:tcPr>
          <w:p w14:paraId="454014C0" w14:textId="77777777" w:rsidR="00464D88" w:rsidRPr="003B4E76" w:rsidRDefault="00464D88" w:rsidP="00464D88">
            <w:pPr>
              <w:spacing w:before="20" w:after="20"/>
              <w:jc w:val="center"/>
              <w:rPr>
                <w:rFonts w:eastAsiaTheme="majorEastAsia"/>
                <w:sz w:val="21"/>
                <w:szCs w:val="21"/>
              </w:rPr>
            </w:pPr>
            <w:r>
              <w:rPr>
                <w:rFonts w:eastAsiaTheme="majorEastAsia"/>
                <w:sz w:val="21"/>
                <w:szCs w:val="21"/>
              </w:rPr>
              <w:t>Census Tract</w:t>
            </w:r>
          </w:p>
        </w:tc>
        <w:tc>
          <w:tcPr>
            <w:tcW w:w="5485" w:type="dxa"/>
            <w:shd w:val="clear" w:color="auto" w:fill="FFFFFF" w:themeFill="background1"/>
            <w:vAlign w:val="center"/>
          </w:tcPr>
          <w:p w14:paraId="67BC876C" w14:textId="1EF4B3FC" w:rsidR="00464D88" w:rsidRDefault="00945C67" w:rsidP="00945C67">
            <w:pPr>
              <w:spacing w:before="20" w:after="20"/>
              <w:jc w:val="center"/>
              <w:rPr>
                <w:rFonts w:eastAsiaTheme="majorEastAsia"/>
                <w:sz w:val="21"/>
                <w:szCs w:val="21"/>
              </w:rPr>
            </w:pPr>
            <w:r w:rsidRPr="00516E98">
              <w:rPr>
                <w:rFonts w:eastAsiaTheme="majorEastAsia"/>
                <w:i/>
                <w:sz w:val="21"/>
                <w:szCs w:val="21"/>
              </w:rPr>
              <w:t xml:space="preserve">U.S. Census Bureau American Community Survey, 2017 American Community Survey 5 Year Estimates. Table </w:t>
            </w:r>
            <w:r>
              <w:rPr>
                <w:rFonts w:eastAsiaTheme="majorEastAsia"/>
                <w:i/>
                <w:sz w:val="21"/>
                <w:szCs w:val="21"/>
              </w:rPr>
              <w:t>S2201</w:t>
            </w:r>
            <w:r w:rsidRPr="00516E98">
              <w:rPr>
                <w:rFonts w:eastAsiaTheme="majorEastAsia"/>
                <w:i/>
                <w:sz w:val="21"/>
                <w:szCs w:val="21"/>
              </w:rPr>
              <w:t>.</w:t>
            </w:r>
          </w:p>
        </w:tc>
      </w:tr>
      <w:tr w:rsidR="00945C67" w:rsidRPr="003B4E76" w14:paraId="20DD9CDE" w14:textId="0D0BDB26" w:rsidTr="00945C67">
        <w:trPr>
          <w:cnfStyle w:val="000000100000" w:firstRow="0" w:lastRow="0" w:firstColumn="0" w:lastColumn="0" w:oddVBand="0" w:evenVBand="0" w:oddHBand="1" w:evenHBand="0" w:firstRowFirstColumn="0" w:firstRowLastColumn="0" w:lastRowFirstColumn="0" w:lastRowLastColumn="0"/>
          <w:trHeight w:val="278"/>
        </w:trPr>
        <w:tc>
          <w:tcPr>
            <w:tcW w:w="1350" w:type="dxa"/>
            <w:vMerge w:val="restart"/>
          </w:tcPr>
          <w:p w14:paraId="3F073F83" w14:textId="77777777" w:rsidR="00945C67" w:rsidRPr="003B4E76" w:rsidRDefault="00945C67" w:rsidP="00464D88">
            <w:pPr>
              <w:spacing w:before="20" w:after="20"/>
              <w:jc w:val="center"/>
              <w:rPr>
                <w:rFonts w:eastAsiaTheme="majorEastAsia"/>
                <w:b/>
                <w:sz w:val="21"/>
                <w:szCs w:val="21"/>
              </w:rPr>
            </w:pPr>
            <w:r>
              <w:rPr>
                <w:rFonts w:eastAsiaTheme="majorEastAsia"/>
                <w:b/>
                <w:sz w:val="21"/>
                <w:szCs w:val="21"/>
              </w:rPr>
              <w:t xml:space="preserve">Criminal </w:t>
            </w:r>
            <w:r w:rsidRPr="003B4E76">
              <w:rPr>
                <w:rFonts w:eastAsiaTheme="majorEastAsia"/>
                <w:b/>
                <w:sz w:val="21"/>
                <w:szCs w:val="21"/>
              </w:rPr>
              <w:t xml:space="preserve"> Justice System </w:t>
            </w:r>
            <w:r>
              <w:rPr>
                <w:rFonts w:eastAsiaTheme="majorEastAsia"/>
                <w:b/>
                <w:sz w:val="21"/>
                <w:szCs w:val="21"/>
              </w:rPr>
              <w:t>Involvement</w:t>
            </w:r>
          </w:p>
        </w:tc>
        <w:tc>
          <w:tcPr>
            <w:tcW w:w="1620" w:type="dxa"/>
          </w:tcPr>
          <w:p w14:paraId="141C6806" w14:textId="77777777" w:rsidR="00945C67" w:rsidRPr="003B4E76" w:rsidRDefault="00945C67" w:rsidP="00464D88">
            <w:pPr>
              <w:spacing w:before="20" w:after="20"/>
              <w:ind w:left="1"/>
              <w:jc w:val="left"/>
              <w:rPr>
                <w:rFonts w:cs="Arial"/>
                <w:b/>
                <w:sz w:val="21"/>
                <w:szCs w:val="21"/>
              </w:rPr>
            </w:pPr>
            <w:r w:rsidRPr="003B4E76">
              <w:rPr>
                <w:rFonts w:cs="Arial"/>
                <w:b/>
                <w:sz w:val="21"/>
                <w:szCs w:val="21"/>
              </w:rPr>
              <w:t>Youth Probation</w:t>
            </w:r>
          </w:p>
        </w:tc>
        <w:tc>
          <w:tcPr>
            <w:tcW w:w="3965" w:type="dxa"/>
          </w:tcPr>
          <w:p w14:paraId="20CF6315" w14:textId="77777777" w:rsidR="00945C67" w:rsidRPr="003B4E76" w:rsidRDefault="00945C67" w:rsidP="00464D88">
            <w:pPr>
              <w:spacing w:before="20" w:after="20"/>
              <w:jc w:val="left"/>
              <w:rPr>
                <w:rFonts w:eastAsiaTheme="majorEastAsia"/>
                <w:sz w:val="21"/>
                <w:szCs w:val="21"/>
              </w:rPr>
            </w:pPr>
            <w:r w:rsidRPr="003B4E76">
              <w:rPr>
                <w:rFonts w:eastAsiaTheme="majorEastAsia"/>
                <w:sz w:val="21"/>
                <w:szCs w:val="21"/>
              </w:rPr>
              <w:t>Youth on probation per 1000 youth (ages 12 -17)</w:t>
            </w:r>
          </w:p>
        </w:tc>
        <w:tc>
          <w:tcPr>
            <w:tcW w:w="990" w:type="dxa"/>
            <w:vMerge w:val="restart"/>
          </w:tcPr>
          <w:p w14:paraId="07531DB5" w14:textId="77777777" w:rsidR="00945C67" w:rsidRPr="003B4E76" w:rsidRDefault="00945C67" w:rsidP="00464D88">
            <w:pPr>
              <w:spacing w:before="20" w:after="20"/>
              <w:jc w:val="center"/>
              <w:rPr>
                <w:rFonts w:eastAsiaTheme="majorEastAsia"/>
                <w:sz w:val="21"/>
                <w:szCs w:val="21"/>
              </w:rPr>
            </w:pPr>
            <w:r w:rsidRPr="003B4E76">
              <w:rPr>
                <w:rFonts w:eastAsiaTheme="majorEastAsia"/>
                <w:sz w:val="21"/>
                <w:szCs w:val="21"/>
              </w:rPr>
              <w:t>2018</w:t>
            </w:r>
          </w:p>
        </w:tc>
        <w:tc>
          <w:tcPr>
            <w:tcW w:w="990" w:type="dxa"/>
          </w:tcPr>
          <w:p w14:paraId="1AA757BD" w14:textId="77777777" w:rsidR="00945C67" w:rsidRPr="003B4E76" w:rsidRDefault="00945C67" w:rsidP="00464D88">
            <w:pPr>
              <w:spacing w:before="20" w:after="20"/>
              <w:jc w:val="center"/>
              <w:rPr>
                <w:rFonts w:eastAsiaTheme="majorEastAsia"/>
                <w:sz w:val="21"/>
                <w:szCs w:val="21"/>
              </w:rPr>
            </w:pPr>
            <w:r>
              <w:rPr>
                <w:rFonts w:eastAsiaTheme="majorEastAsia"/>
                <w:sz w:val="21"/>
                <w:szCs w:val="21"/>
              </w:rPr>
              <w:t>Zip Code</w:t>
            </w:r>
          </w:p>
        </w:tc>
        <w:tc>
          <w:tcPr>
            <w:tcW w:w="5485" w:type="dxa"/>
            <w:vMerge w:val="restart"/>
            <w:vAlign w:val="center"/>
          </w:tcPr>
          <w:p w14:paraId="25710BB7" w14:textId="323B5500" w:rsidR="00945C67" w:rsidRPr="00945C67" w:rsidRDefault="00945C67" w:rsidP="00945C67">
            <w:pPr>
              <w:spacing w:before="20" w:after="20"/>
              <w:jc w:val="center"/>
              <w:rPr>
                <w:rFonts w:eastAsiaTheme="majorEastAsia"/>
                <w:i/>
                <w:sz w:val="21"/>
                <w:szCs w:val="21"/>
              </w:rPr>
            </w:pPr>
            <w:r w:rsidRPr="00945C67">
              <w:rPr>
                <w:rFonts w:eastAsiaTheme="majorEastAsia"/>
                <w:i/>
                <w:sz w:val="21"/>
                <w:szCs w:val="21"/>
              </w:rPr>
              <w:t>Probation Department, 2019</w:t>
            </w:r>
          </w:p>
        </w:tc>
      </w:tr>
      <w:tr w:rsidR="00945C67" w:rsidRPr="003B4E76" w14:paraId="66DAB1A8" w14:textId="12CA5CEA" w:rsidTr="00945C67">
        <w:trPr>
          <w:trHeight w:val="277"/>
        </w:trPr>
        <w:tc>
          <w:tcPr>
            <w:tcW w:w="1350" w:type="dxa"/>
            <w:vMerge/>
            <w:shd w:val="clear" w:color="auto" w:fill="DAEEF3" w:themeFill="accent5" w:themeFillTint="33"/>
          </w:tcPr>
          <w:p w14:paraId="70D7B4C1" w14:textId="77777777" w:rsidR="00945C67" w:rsidRPr="003B4E76" w:rsidRDefault="00945C67" w:rsidP="00464D88">
            <w:pPr>
              <w:spacing w:before="20" w:after="20"/>
              <w:jc w:val="center"/>
              <w:rPr>
                <w:rFonts w:eastAsiaTheme="majorEastAsia"/>
                <w:b/>
                <w:sz w:val="21"/>
                <w:szCs w:val="21"/>
              </w:rPr>
            </w:pPr>
          </w:p>
        </w:tc>
        <w:tc>
          <w:tcPr>
            <w:tcW w:w="1620" w:type="dxa"/>
            <w:shd w:val="clear" w:color="auto" w:fill="DAEEF3" w:themeFill="accent5" w:themeFillTint="33"/>
          </w:tcPr>
          <w:p w14:paraId="1E3E5497" w14:textId="77777777" w:rsidR="00945C67" w:rsidRPr="003B4E76" w:rsidRDefault="00945C67" w:rsidP="00464D88">
            <w:pPr>
              <w:spacing w:before="20" w:after="20"/>
              <w:ind w:left="1"/>
              <w:jc w:val="left"/>
              <w:rPr>
                <w:rFonts w:cs="Arial"/>
                <w:b/>
                <w:sz w:val="21"/>
                <w:szCs w:val="21"/>
              </w:rPr>
            </w:pPr>
            <w:r w:rsidRPr="003B4E76">
              <w:rPr>
                <w:rFonts w:cs="Arial"/>
                <w:b/>
                <w:sz w:val="21"/>
                <w:szCs w:val="21"/>
              </w:rPr>
              <w:t>Adult Probation</w:t>
            </w:r>
          </w:p>
        </w:tc>
        <w:tc>
          <w:tcPr>
            <w:tcW w:w="3965" w:type="dxa"/>
            <w:shd w:val="clear" w:color="auto" w:fill="DAEEF3" w:themeFill="accent5" w:themeFillTint="33"/>
          </w:tcPr>
          <w:p w14:paraId="583FDDBA" w14:textId="77777777" w:rsidR="00945C67" w:rsidRPr="003B4E76" w:rsidRDefault="00945C67" w:rsidP="00464D88">
            <w:pPr>
              <w:spacing w:before="20" w:after="20"/>
              <w:jc w:val="left"/>
              <w:rPr>
                <w:rFonts w:eastAsiaTheme="majorEastAsia"/>
                <w:sz w:val="21"/>
                <w:szCs w:val="21"/>
              </w:rPr>
            </w:pPr>
            <w:r w:rsidRPr="003B4E76">
              <w:rPr>
                <w:rFonts w:eastAsiaTheme="majorEastAsia"/>
                <w:sz w:val="21"/>
                <w:szCs w:val="21"/>
              </w:rPr>
              <w:t>Adults on probation per 1000 adults (ages 18 and older)</w:t>
            </w:r>
          </w:p>
        </w:tc>
        <w:tc>
          <w:tcPr>
            <w:tcW w:w="990" w:type="dxa"/>
            <w:vMerge/>
            <w:shd w:val="clear" w:color="auto" w:fill="DAEEF3" w:themeFill="accent5" w:themeFillTint="33"/>
          </w:tcPr>
          <w:p w14:paraId="56E4F0BD" w14:textId="77777777" w:rsidR="00945C67" w:rsidRPr="003B4E76" w:rsidRDefault="00945C67" w:rsidP="00464D88">
            <w:pPr>
              <w:spacing w:before="20" w:after="20"/>
              <w:jc w:val="center"/>
              <w:rPr>
                <w:rFonts w:eastAsiaTheme="majorEastAsia"/>
                <w:sz w:val="21"/>
                <w:szCs w:val="21"/>
              </w:rPr>
            </w:pPr>
          </w:p>
        </w:tc>
        <w:tc>
          <w:tcPr>
            <w:tcW w:w="990" w:type="dxa"/>
            <w:shd w:val="clear" w:color="auto" w:fill="DAEEF3" w:themeFill="accent5" w:themeFillTint="33"/>
          </w:tcPr>
          <w:p w14:paraId="27F46BDC" w14:textId="77777777" w:rsidR="00945C67" w:rsidRPr="003B4E76" w:rsidRDefault="00945C67" w:rsidP="00464D88">
            <w:pPr>
              <w:spacing w:before="20" w:after="20"/>
              <w:jc w:val="center"/>
              <w:rPr>
                <w:rFonts w:eastAsiaTheme="majorEastAsia"/>
                <w:sz w:val="21"/>
                <w:szCs w:val="21"/>
              </w:rPr>
            </w:pPr>
            <w:r>
              <w:rPr>
                <w:rFonts w:eastAsiaTheme="majorEastAsia"/>
                <w:sz w:val="21"/>
                <w:szCs w:val="21"/>
              </w:rPr>
              <w:t>Zip Code</w:t>
            </w:r>
          </w:p>
        </w:tc>
        <w:tc>
          <w:tcPr>
            <w:tcW w:w="5485" w:type="dxa"/>
            <w:vMerge/>
            <w:shd w:val="clear" w:color="auto" w:fill="DAEEF3" w:themeFill="accent5" w:themeFillTint="33"/>
            <w:vAlign w:val="center"/>
          </w:tcPr>
          <w:p w14:paraId="7FD770CC" w14:textId="77777777" w:rsidR="00945C67" w:rsidRDefault="00945C67" w:rsidP="00945C67">
            <w:pPr>
              <w:spacing w:before="20" w:after="20"/>
              <w:jc w:val="left"/>
              <w:rPr>
                <w:rFonts w:eastAsiaTheme="majorEastAsia"/>
                <w:sz w:val="21"/>
                <w:szCs w:val="21"/>
              </w:rPr>
            </w:pPr>
          </w:p>
        </w:tc>
      </w:tr>
      <w:tr w:rsidR="00464D88" w:rsidRPr="003B4E76" w14:paraId="6E49CCD8" w14:textId="5D48D7C0" w:rsidTr="00945C67">
        <w:trPr>
          <w:cnfStyle w:val="000000100000" w:firstRow="0" w:lastRow="0" w:firstColumn="0" w:lastColumn="0" w:oddVBand="0" w:evenVBand="0" w:oddHBand="1" w:evenHBand="0" w:firstRowFirstColumn="0" w:firstRowLastColumn="0" w:lastRowFirstColumn="0" w:lastRowLastColumn="0"/>
          <w:trHeight w:val="288"/>
        </w:trPr>
        <w:tc>
          <w:tcPr>
            <w:tcW w:w="1350" w:type="dxa"/>
            <w:vMerge/>
          </w:tcPr>
          <w:p w14:paraId="6EDE78F5" w14:textId="77777777" w:rsidR="00464D88" w:rsidRPr="003B4E76" w:rsidRDefault="00464D88" w:rsidP="00464D88">
            <w:pPr>
              <w:spacing w:before="20" w:after="20"/>
              <w:rPr>
                <w:rFonts w:eastAsiaTheme="majorEastAsia"/>
                <w:b/>
                <w:sz w:val="21"/>
                <w:szCs w:val="21"/>
              </w:rPr>
            </w:pPr>
          </w:p>
        </w:tc>
        <w:tc>
          <w:tcPr>
            <w:tcW w:w="1620" w:type="dxa"/>
          </w:tcPr>
          <w:p w14:paraId="67D343AA" w14:textId="77777777" w:rsidR="00464D88" w:rsidRPr="003B4E76" w:rsidRDefault="00464D88" w:rsidP="00464D88">
            <w:pPr>
              <w:spacing w:before="20" w:after="20"/>
              <w:ind w:left="1"/>
              <w:jc w:val="left"/>
              <w:rPr>
                <w:rFonts w:cs="Arial"/>
                <w:b/>
                <w:sz w:val="21"/>
                <w:szCs w:val="21"/>
              </w:rPr>
            </w:pPr>
            <w:r w:rsidRPr="003B4E76">
              <w:rPr>
                <w:rFonts w:cs="Arial"/>
                <w:b/>
                <w:sz w:val="21"/>
                <w:szCs w:val="21"/>
              </w:rPr>
              <w:t>OPD Stops</w:t>
            </w:r>
          </w:p>
        </w:tc>
        <w:tc>
          <w:tcPr>
            <w:tcW w:w="3965" w:type="dxa"/>
          </w:tcPr>
          <w:p w14:paraId="2ED7C9EB" w14:textId="77777777" w:rsidR="00464D88" w:rsidRPr="003B4E76" w:rsidRDefault="00464D88" w:rsidP="00464D88">
            <w:pPr>
              <w:spacing w:before="20" w:after="20"/>
              <w:jc w:val="left"/>
              <w:rPr>
                <w:rFonts w:eastAsiaTheme="majorEastAsia"/>
                <w:sz w:val="21"/>
                <w:szCs w:val="21"/>
              </w:rPr>
            </w:pPr>
            <w:r w:rsidRPr="003B4E76">
              <w:rPr>
                <w:rFonts w:eastAsiaTheme="majorEastAsia"/>
                <w:sz w:val="21"/>
                <w:szCs w:val="21"/>
              </w:rPr>
              <w:t>Pedestrian, bicycle, and vehicle stops per 1,000 population</w:t>
            </w:r>
          </w:p>
        </w:tc>
        <w:tc>
          <w:tcPr>
            <w:tcW w:w="990" w:type="dxa"/>
          </w:tcPr>
          <w:p w14:paraId="2A3C5A4D" w14:textId="77777777" w:rsidR="00464D88" w:rsidRPr="003B4E76" w:rsidRDefault="00464D88" w:rsidP="00464D88">
            <w:pPr>
              <w:spacing w:before="20" w:after="20"/>
              <w:jc w:val="center"/>
              <w:rPr>
                <w:rFonts w:eastAsiaTheme="majorEastAsia"/>
                <w:sz w:val="21"/>
                <w:szCs w:val="21"/>
              </w:rPr>
            </w:pPr>
            <w:r w:rsidRPr="003B4E76">
              <w:rPr>
                <w:rFonts w:eastAsiaTheme="majorEastAsia"/>
                <w:sz w:val="21"/>
                <w:szCs w:val="21"/>
              </w:rPr>
              <w:t>2017</w:t>
            </w:r>
          </w:p>
        </w:tc>
        <w:tc>
          <w:tcPr>
            <w:tcW w:w="990" w:type="dxa"/>
          </w:tcPr>
          <w:p w14:paraId="68610D58" w14:textId="77777777" w:rsidR="00464D88" w:rsidRPr="003B4E76" w:rsidRDefault="00464D88" w:rsidP="00464D88">
            <w:pPr>
              <w:spacing w:before="20" w:after="20"/>
              <w:jc w:val="center"/>
              <w:rPr>
                <w:rFonts w:eastAsiaTheme="majorEastAsia"/>
                <w:sz w:val="21"/>
                <w:szCs w:val="21"/>
              </w:rPr>
            </w:pPr>
            <w:r>
              <w:rPr>
                <w:rFonts w:eastAsiaTheme="majorEastAsia"/>
                <w:sz w:val="21"/>
                <w:szCs w:val="21"/>
              </w:rPr>
              <w:t>Police Beats</w:t>
            </w:r>
          </w:p>
        </w:tc>
        <w:tc>
          <w:tcPr>
            <w:tcW w:w="5485" w:type="dxa"/>
            <w:vAlign w:val="center"/>
          </w:tcPr>
          <w:p w14:paraId="70727D2B" w14:textId="07DF10D9" w:rsidR="00464D88" w:rsidRDefault="00945C67" w:rsidP="00945C67">
            <w:pPr>
              <w:spacing w:before="20" w:after="20"/>
              <w:jc w:val="left"/>
              <w:rPr>
                <w:rFonts w:eastAsiaTheme="majorEastAsia"/>
                <w:sz w:val="21"/>
                <w:szCs w:val="21"/>
              </w:rPr>
            </w:pPr>
            <w:r w:rsidRPr="00945C67">
              <w:rPr>
                <w:rFonts w:eastAsiaTheme="majorEastAsia"/>
                <w:i/>
                <w:sz w:val="21"/>
                <w:szCs w:val="21"/>
              </w:rPr>
              <w:t>Oakland Police Department</w:t>
            </w:r>
            <w:r w:rsidR="008055D4">
              <w:rPr>
                <w:rFonts w:eastAsiaTheme="majorEastAsia"/>
                <w:i/>
                <w:sz w:val="21"/>
                <w:szCs w:val="21"/>
              </w:rPr>
              <w:t xml:space="preserve"> Stop Data, Source Data 2017.</w:t>
            </w:r>
          </w:p>
        </w:tc>
      </w:tr>
      <w:tr w:rsidR="00464D88" w:rsidRPr="003B4E76" w14:paraId="086DED4F" w14:textId="19AD4C25" w:rsidTr="00945C67">
        <w:trPr>
          <w:trHeight w:val="282"/>
        </w:trPr>
        <w:tc>
          <w:tcPr>
            <w:tcW w:w="1350" w:type="dxa"/>
            <w:vMerge/>
          </w:tcPr>
          <w:p w14:paraId="20447F8B" w14:textId="77777777" w:rsidR="00464D88" w:rsidRPr="003B4E76" w:rsidRDefault="00464D88" w:rsidP="00464D88">
            <w:pPr>
              <w:spacing w:before="20" w:after="20"/>
              <w:rPr>
                <w:rFonts w:eastAsiaTheme="majorEastAsia"/>
                <w:b/>
                <w:sz w:val="21"/>
                <w:szCs w:val="21"/>
              </w:rPr>
            </w:pPr>
          </w:p>
        </w:tc>
        <w:tc>
          <w:tcPr>
            <w:tcW w:w="1620" w:type="dxa"/>
            <w:shd w:val="clear" w:color="auto" w:fill="DAEEF3" w:themeFill="accent5" w:themeFillTint="33"/>
          </w:tcPr>
          <w:p w14:paraId="7EDDC1BF" w14:textId="77777777" w:rsidR="00464D88" w:rsidRPr="003B4E76" w:rsidRDefault="00464D88" w:rsidP="00464D88">
            <w:pPr>
              <w:spacing w:before="20" w:after="20"/>
              <w:ind w:left="1"/>
              <w:jc w:val="left"/>
              <w:rPr>
                <w:rFonts w:cs="Arial"/>
                <w:b/>
                <w:sz w:val="21"/>
                <w:szCs w:val="21"/>
              </w:rPr>
            </w:pPr>
            <w:r w:rsidRPr="003B4E76">
              <w:rPr>
                <w:rFonts w:cs="Arial"/>
                <w:b/>
                <w:sz w:val="21"/>
                <w:szCs w:val="21"/>
              </w:rPr>
              <w:t>Domestic Violence</w:t>
            </w:r>
          </w:p>
        </w:tc>
        <w:tc>
          <w:tcPr>
            <w:tcW w:w="3965" w:type="dxa"/>
            <w:shd w:val="clear" w:color="auto" w:fill="DAEEF3" w:themeFill="accent5" w:themeFillTint="33"/>
          </w:tcPr>
          <w:p w14:paraId="1C5EBCD1" w14:textId="77777777" w:rsidR="00464D88" w:rsidRPr="003B4E76" w:rsidRDefault="00464D88" w:rsidP="00464D88">
            <w:pPr>
              <w:spacing w:before="20" w:after="20"/>
              <w:jc w:val="left"/>
              <w:rPr>
                <w:rFonts w:eastAsiaTheme="majorEastAsia"/>
                <w:sz w:val="21"/>
                <w:szCs w:val="21"/>
              </w:rPr>
            </w:pPr>
            <w:r w:rsidRPr="003B4E76">
              <w:rPr>
                <w:rFonts w:eastAsiaTheme="majorEastAsia"/>
                <w:sz w:val="21"/>
                <w:szCs w:val="21"/>
              </w:rPr>
              <w:t xml:space="preserve">Domestic violence incidents reported to OPD per 1,000 population </w:t>
            </w:r>
          </w:p>
        </w:tc>
        <w:tc>
          <w:tcPr>
            <w:tcW w:w="990" w:type="dxa"/>
            <w:vMerge w:val="restart"/>
            <w:shd w:val="clear" w:color="auto" w:fill="DAEEF3" w:themeFill="accent5" w:themeFillTint="33"/>
          </w:tcPr>
          <w:p w14:paraId="7FF417D8" w14:textId="77777777" w:rsidR="00464D88" w:rsidRPr="003B4E76" w:rsidRDefault="00464D88" w:rsidP="00464D88">
            <w:pPr>
              <w:spacing w:before="20" w:after="20"/>
              <w:jc w:val="center"/>
              <w:rPr>
                <w:rFonts w:eastAsiaTheme="majorEastAsia"/>
                <w:sz w:val="21"/>
                <w:szCs w:val="21"/>
              </w:rPr>
            </w:pPr>
            <w:r w:rsidRPr="003B4E76">
              <w:rPr>
                <w:rFonts w:eastAsiaTheme="majorEastAsia"/>
                <w:sz w:val="21"/>
                <w:szCs w:val="21"/>
              </w:rPr>
              <w:t>2018</w:t>
            </w:r>
          </w:p>
        </w:tc>
        <w:tc>
          <w:tcPr>
            <w:tcW w:w="990" w:type="dxa"/>
            <w:shd w:val="clear" w:color="auto" w:fill="DAEEF3" w:themeFill="accent5" w:themeFillTint="33"/>
          </w:tcPr>
          <w:p w14:paraId="5243A717" w14:textId="77777777" w:rsidR="00464D88" w:rsidRPr="003B4E76" w:rsidRDefault="00464D88" w:rsidP="00464D88">
            <w:pPr>
              <w:spacing w:before="20" w:after="20"/>
              <w:jc w:val="center"/>
              <w:rPr>
                <w:rFonts w:eastAsiaTheme="majorEastAsia"/>
                <w:sz w:val="21"/>
                <w:szCs w:val="21"/>
              </w:rPr>
            </w:pPr>
            <w:r w:rsidRPr="00475173">
              <w:rPr>
                <w:rFonts w:eastAsiaTheme="majorEastAsia"/>
                <w:sz w:val="21"/>
                <w:szCs w:val="21"/>
              </w:rPr>
              <w:t>Police Beats</w:t>
            </w:r>
          </w:p>
        </w:tc>
        <w:tc>
          <w:tcPr>
            <w:tcW w:w="5485" w:type="dxa"/>
            <w:vMerge w:val="restart"/>
            <w:shd w:val="clear" w:color="auto" w:fill="DAEEF3" w:themeFill="accent5" w:themeFillTint="33"/>
            <w:vAlign w:val="center"/>
          </w:tcPr>
          <w:p w14:paraId="6452A34D" w14:textId="6BC156D3" w:rsidR="00464D88" w:rsidRPr="00945C67" w:rsidRDefault="00464D88" w:rsidP="00945C67">
            <w:pPr>
              <w:spacing w:before="20" w:after="20"/>
              <w:jc w:val="center"/>
              <w:rPr>
                <w:rFonts w:eastAsiaTheme="majorEastAsia"/>
                <w:i/>
                <w:sz w:val="21"/>
                <w:szCs w:val="21"/>
              </w:rPr>
            </w:pPr>
            <w:r w:rsidRPr="00945C67">
              <w:rPr>
                <w:rFonts w:eastAsiaTheme="majorEastAsia"/>
                <w:i/>
                <w:sz w:val="21"/>
                <w:szCs w:val="21"/>
              </w:rPr>
              <w:t>Oakland Police Department</w:t>
            </w:r>
            <w:r w:rsidR="00945C67" w:rsidRPr="00945C67">
              <w:rPr>
                <w:rFonts w:eastAsiaTheme="majorEastAsia"/>
                <w:i/>
                <w:sz w:val="21"/>
                <w:szCs w:val="21"/>
              </w:rPr>
              <w:t>, 2019</w:t>
            </w:r>
          </w:p>
        </w:tc>
      </w:tr>
      <w:tr w:rsidR="00464D88" w:rsidRPr="003B4E76" w14:paraId="67C99006" w14:textId="751170F4" w:rsidTr="00945C67">
        <w:trPr>
          <w:cnfStyle w:val="000000100000" w:firstRow="0" w:lastRow="0" w:firstColumn="0" w:lastColumn="0" w:oddVBand="0" w:evenVBand="0" w:oddHBand="1" w:evenHBand="0" w:firstRowFirstColumn="0" w:firstRowLastColumn="0" w:lastRowFirstColumn="0" w:lastRowLastColumn="0"/>
          <w:trHeight w:val="281"/>
        </w:trPr>
        <w:tc>
          <w:tcPr>
            <w:tcW w:w="1350" w:type="dxa"/>
            <w:vMerge/>
          </w:tcPr>
          <w:p w14:paraId="7C359BE7" w14:textId="77777777" w:rsidR="00464D88" w:rsidRPr="003B4E76" w:rsidRDefault="00464D88" w:rsidP="00464D88">
            <w:pPr>
              <w:spacing w:before="40" w:after="40"/>
              <w:rPr>
                <w:rFonts w:eastAsiaTheme="majorEastAsia"/>
                <w:b/>
                <w:sz w:val="21"/>
                <w:szCs w:val="21"/>
              </w:rPr>
            </w:pPr>
          </w:p>
        </w:tc>
        <w:tc>
          <w:tcPr>
            <w:tcW w:w="1620" w:type="dxa"/>
          </w:tcPr>
          <w:p w14:paraId="2FAAF391" w14:textId="77777777" w:rsidR="00464D88" w:rsidRPr="003B4E76" w:rsidRDefault="00464D88" w:rsidP="00464D88">
            <w:pPr>
              <w:spacing w:before="20" w:after="20"/>
              <w:ind w:left="1"/>
              <w:jc w:val="left"/>
              <w:rPr>
                <w:rFonts w:cs="Arial"/>
                <w:b/>
                <w:sz w:val="21"/>
                <w:szCs w:val="21"/>
              </w:rPr>
            </w:pPr>
            <w:r w:rsidRPr="003B4E76">
              <w:rPr>
                <w:rFonts w:cs="Arial"/>
                <w:b/>
                <w:sz w:val="21"/>
                <w:szCs w:val="21"/>
              </w:rPr>
              <w:t>Shootings</w:t>
            </w:r>
          </w:p>
        </w:tc>
        <w:tc>
          <w:tcPr>
            <w:tcW w:w="3965" w:type="dxa"/>
          </w:tcPr>
          <w:p w14:paraId="4C4EC4E3" w14:textId="77777777" w:rsidR="00464D88" w:rsidRPr="003B4E76" w:rsidRDefault="00464D88" w:rsidP="00464D88">
            <w:pPr>
              <w:spacing w:before="40" w:after="40"/>
              <w:jc w:val="left"/>
              <w:rPr>
                <w:rFonts w:eastAsiaTheme="majorEastAsia"/>
                <w:sz w:val="21"/>
                <w:szCs w:val="21"/>
              </w:rPr>
            </w:pPr>
            <w:r w:rsidRPr="003B4E76">
              <w:rPr>
                <w:rFonts w:eastAsiaTheme="majorEastAsia"/>
                <w:sz w:val="21"/>
                <w:szCs w:val="21"/>
              </w:rPr>
              <w:t xml:space="preserve">Shooting incidents reported to OPD per 1,000 population </w:t>
            </w:r>
          </w:p>
        </w:tc>
        <w:tc>
          <w:tcPr>
            <w:tcW w:w="990" w:type="dxa"/>
            <w:vMerge/>
          </w:tcPr>
          <w:p w14:paraId="3C3A7089" w14:textId="77777777" w:rsidR="00464D88" w:rsidRPr="003B4E76" w:rsidRDefault="00464D88" w:rsidP="00464D88">
            <w:pPr>
              <w:spacing w:before="40" w:after="40"/>
              <w:jc w:val="center"/>
              <w:rPr>
                <w:rFonts w:eastAsiaTheme="majorEastAsia"/>
                <w:sz w:val="21"/>
                <w:szCs w:val="21"/>
              </w:rPr>
            </w:pPr>
          </w:p>
        </w:tc>
        <w:tc>
          <w:tcPr>
            <w:tcW w:w="990" w:type="dxa"/>
          </w:tcPr>
          <w:p w14:paraId="28FC07F2" w14:textId="77777777" w:rsidR="00464D88" w:rsidRPr="003B4E76" w:rsidRDefault="00464D88" w:rsidP="00464D88">
            <w:pPr>
              <w:spacing w:before="40" w:after="40"/>
              <w:jc w:val="center"/>
              <w:rPr>
                <w:rFonts w:eastAsiaTheme="majorEastAsia"/>
                <w:sz w:val="21"/>
                <w:szCs w:val="21"/>
              </w:rPr>
            </w:pPr>
            <w:r w:rsidRPr="00475173">
              <w:rPr>
                <w:rFonts w:eastAsiaTheme="majorEastAsia"/>
                <w:sz w:val="21"/>
                <w:szCs w:val="21"/>
              </w:rPr>
              <w:t>Police Beats</w:t>
            </w:r>
          </w:p>
        </w:tc>
        <w:tc>
          <w:tcPr>
            <w:tcW w:w="5485" w:type="dxa"/>
            <w:vMerge/>
            <w:vAlign w:val="center"/>
          </w:tcPr>
          <w:p w14:paraId="782655E2" w14:textId="77777777" w:rsidR="00464D88" w:rsidRPr="00475173" w:rsidRDefault="00464D88" w:rsidP="00945C67">
            <w:pPr>
              <w:spacing w:before="40" w:after="40"/>
              <w:jc w:val="left"/>
              <w:rPr>
                <w:rFonts w:eastAsiaTheme="majorEastAsia"/>
                <w:sz w:val="21"/>
                <w:szCs w:val="21"/>
              </w:rPr>
            </w:pPr>
          </w:p>
        </w:tc>
      </w:tr>
      <w:tr w:rsidR="00464D88" w:rsidRPr="003B4E76" w14:paraId="1FD9ABB1" w14:textId="2FB08A15" w:rsidTr="00945C67">
        <w:trPr>
          <w:trHeight w:val="281"/>
        </w:trPr>
        <w:tc>
          <w:tcPr>
            <w:tcW w:w="1350" w:type="dxa"/>
            <w:vMerge/>
          </w:tcPr>
          <w:p w14:paraId="3AA73077" w14:textId="77777777" w:rsidR="00464D88" w:rsidRPr="003B4E76" w:rsidRDefault="00464D88" w:rsidP="00464D88">
            <w:pPr>
              <w:spacing w:before="40" w:after="40"/>
              <w:rPr>
                <w:rFonts w:eastAsiaTheme="majorEastAsia"/>
                <w:b/>
                <w:sz w:val="21"/>
                <w:szCs w:val="21"/>
              </w:rPr>
            </w:pPr>
          </w:p>
        </w:tc>
        <w:tc>
          <w:tcPr>
            <w:tcW w:w="1620" w:type="dxa"/>
            <w:shd w:val="clear" w:color="auto" w:fill="DAEEF3" w:themeFill="accent5" w:themeFillTint="33"/>
          </w:tcPr>
          <w:p w14:paraId="3AFB097E" w14:textId="77777777" w:rsidR="00464D88" w:rsidRPr="003B4E76" w:rsidRDefault="00464D88" w:rsidP="00464D88">
            <w:pPr>
              <w:spacing w:before="20" w:after="20"/>
              <w:ind w:left="1"/>
              <w:jc w:val="left"/>
              <w:rPr>
                <w:rFonts w:cs="Arial"/>
                <w:b/>
                <w:sz w:val="21"/>
                <w:szCs w:val="21"/>
              </w:rPr>
            </w:pPr>
            <w:r w:rsidRPr="003B4E76">
              <w:rPr>
                <w:rFonts w:cs="Arial"/>
                <w:b/>
                <w:sz w:val="21"/>
                <w:szCs w:val="21"/>
              </w:rPr>
              <w:t>Burglaries</w:t>
            </w:r>
          </w:p>
        </w:tc>
        <w:tc>
          <w:tcPr>
            <w:tcW w:w="3965" w:type="dxa"/>
            <w:shd w:val="clear" w:color="auto" w:fill="DAEEF3" w:themeFill="accent5" w:themeFillTint="33"/>
          </w:tcPr>
          <w:p w14:paraId="4BA7EC75" w14:textId="77777777" w:rsidR="00464D88" w:rsidRPr="003B4E76" w:rsidRDefault="00464D88" w:rsidP="00464D88">
            <w:pPr>
              <w:spacing w:before="40" w:after="40"/>
              <w:jc w:val="left"/>
              <w:rPr>
                <w:rFonts w:eastAsiaTheme="majorEastAsia"/>
                <w:sz w:val="21"/>
                <w:szCs w:val="21"/>
              </w:rPr>
            </w:pPr>
            <w:r w:rsidRPr="003B4E76">
              <w:rPr>
                <w:rFonts w:eastAsiaTheme="majorEastAsia"/>
                <w:sz w:val="21"/>
                <w:szCs w:val="21"/>
              </w:rPr>
              <w:t xml:space="preserve">Burglaries reported to OPD per 1,000 population </w:t>
            </w:r>
          </w:p>
        </w:tc>
        <w:tc>
          <w:tcPr>
            <w:tcW w:w="990" w:type="dxa"/>
            <w:vMerge/>
            <w:shd w:val="clear" w:color="auto" w:fill="DAEEF3" w:themeFill="accent5" w:themeFillTint="33"/>
          </w:tcPr>
          <w:p w14:paraId="6B56AC8D" w14:textId="77777777" w:rsidR="00464D88" w:rsidRPr="003B4E76" w:rsidRDefault="00464D88" w:rsidP="00464D88">
            <w:pPr>
              <w:spacing w:before="40" w:after="40"/>
              <w:jc w:val="center"/>
              <w:rPr>
                <w:rFonts w:eastAsiaTheme="majorEastAsia"/>
                <w:sz w:val="21"/>
                <w:szCs w:val="21"/>
              </w:rPr>
            </w:pPr>
          </w:p>
        </w:tc>
        <w:tc>
          <w:tcPr>
            <w:tcW w:w="990" w:type="dxa"/>
            <w:shd w:val="clear" w:color="auto" w:fill="DAEEF3" w:themeFill="accent5" w:themeFillTint="33"/>
          </w:tcPr>
          <w:p w14:paraId="7726A01F" w14:textId="77777777" w:rsidR="00464D88" w:rsidRPr="003B4E76" w:rsidRDefault="00464D88" w:rsidP="00464D88">
            <w:pPr>
              <w:spacing w:before="40" w:after="40"/>
              <w:jc w:val="center"/>
              <w:rPr>
                <w:rFonts w:eastAsiaTheme="majorEastAsia"/>
                <w:sz w:val="21"/>
                <w:szCs w:val="21"/>
              </w:rPr>
            </w:pPr>
            <w:r w:rsidRPr="00475173">
              <w:rPr>
                <w:rFonts w:eastAsiaTheme="majorEastAsia"/>
                <w:sz w:val="21"/>
                <w:szCs w:val="21"/>
              </w:rPr>
              <w:t>Police Beats</w:t>
            </w:r>
          </w:p>
        </w:tc>
        <w:tc>
          <w:tcPr>
            <w:tcW w:w="5485" w:type="dxa"/>
            <w:vMerge/>
            <w:shd w:val="clear" w:color="auto" w:fill="DAEEF3" w:themeFill="accent5" w:themeFillTint="33"/>
            <w:vAlign w:val="center"/>
          </w:tcPr>
          <w:p w14:paraId="7D8B297A" w14:textId="77777777" w:rsidR="00464D88" w:rsidRPr="00475173" w:rsidRDefault="00464D88" w:rsidP="00945C67">
            <w:pPr>
              <w:spacing w:before="40" w:after="40"/>
              <w:jc w:val="left"/>
              <w:rPr>
                <w:rFonts w:eastAsiaTheme="majorEastAsia"/>
                <w:sz w:val="21"/>
                <w:szCs w:val="21"/>
              </w:rPr>
            </w:pPr>
          </w:p>
        </w:tc>
      </w:tr>
      <w:tr w:rsidR="00464D88" w:rsidRPr="003B4E76" w14:paraId="7D12DE29" w14:textId="0B4A0129" w:rsidTr="00945C67">
        <w:trPr>
          <w:cnfStyle w:val="000000100000" w:firstRow="0" w:lastRow="0" w:firstColumn="0" w:lastColumn="0" w:oddVBand="0" w:evenVBand="0" w:oddHBand="1" w:evenHBand="0" w:firstRowFirstColumn="0" w:firstRowLastColumn="0" w:lastRowFirstColumn="0" w:lastRowLastColumn="0"/>
          <w:trHeight w:val="281"/>
        </w:trPr>
        <w:tc>
          <w:tcPr>
            <w:tcW w:w="1350" w:type="dxa"/>
            <w:vMerge/>
          </w:tcPr>
          <w:p w14:paraId="7C9C6476" w14:textId="77777777" w:rsidR="00464D88" w:rsidRPr="003B4E76" w:rsidRDefault="00464D88" w:rsidP="00464D88">
            <w:pPr>
              <w:spacing w:before="40" w:after="40"/>
              <w:rPr>
                <w:rFonts w:eastAsiaTheme="majorEastAsia"/>
                <w:b/>
                <w:sz w:val="21"/>
                <w:szCs w:val="21"/>
              </w:rPr>
            </w:pPr>
          </w:p>
        </w:tc>
        <w:tc>
          <w:tcPr>
            <w:tcW w:w="1620" w:type="dxa"/>
          </w:tcPr>
          <w:p w14:paraId="16C707CB" w14:textId="77777777" w:rsidR="00464D88" w:rsidRPr="003B4E76" w:rsidRDefault="00464D88" w:rsidP="00464D88">
            <w:pPr>
              <w:spacing w:before="40" w:after="40"/>
              <w:ind w:left="1"/>
              <w:jc w:val="left"/>
              <w:rPr>
                <w:rFonts w:cs="Arial"/>
                <w:b/>
                <w:sz w:val="21"/>
                <w:szCs w:val="21"/>
              </w:rPr>
            </w:pPr>
            <w:r w:rsidRPr="003B4E76">
              <w:rPr>
                <w:rFonts w:cs="Arial"/>
                <w:b/>
                <w:sz w:val="21"/>
                <w:szCs w:val="21"/>
              </w:rPr>
              <w:t>Homicides</w:t>
            </w:r>
          </w:p>
        </w:tc>
        <w:tc>
          <w:tcPr>
            <w:tcW w:w="3965" w:type="dxa"/>
          </w:tcPr>
          <w:p w14:paraId="6C82B336" w14:textId="77777777" w:rsidR="00464D88" w:rsidRPr="003B4E76" w:rsidRDefault="00464D88" w:rsidP="00464D88">
            <w:pPr>
              <w:spacing w:before="40" w:after="40"/>
              <w:jc w:val="left"/>
              <w:rPr>
                <w:rFonts w:eastAsiaTheme="majorEastAsia"/>
                <w:sz w:val="21"/>
                <w:szCs w:val="21"/>
              </w:rPr>
            </w:pPr>
            <w:r w:rsidRPr="003B4E76">
              <w:rPr>
                <w:rFonts w:eastAsiaTheme="majorEastAsia"/>
                <w:sz w:val="21"/>
                <w:szCs w:val="21"/>
              </w:rPr>
              <w:t xml:space="preserve">Homicides reported to OPD per 1,000 population </w:t>
            </w:r>
          </w:p>
        </w:tc>
        <w:tc>
          <w:tcPr>
            <w:tcW w:w="990" w:type="dxa"/>
            <w:vMerge/>
          </w:tcPr>
          <w:p w14:paraId="4EA0EBA8" w14:textId="77777777" w:rsidR="00464D88" w:rsidRPr="003B4E76" w:rsidRDefault="00464D88" w:rsidP="00464D88">
            <w:pPr>
              <w:spacing w:before="40" w:after="40"/>
              <w:jc w:val="center"/>
              <w:rPr>
                <w:rFonts w:eastAsiaTheme="majorEastAsia"/>
                <w:sz w:val="21"/>
                <w:szCs w:val="21"/>
              </w:rPr>
            </w:pPr>
          </w:p>
        </w:tc>
        <w:tc>
          <w:tcPr>
            <w:tcW w:w="990" w:type="dxa"/>
          </w:tcPr>
          <w:p w14:paraId="0E7D6EDD" w14:textId="77777777" w:rsidR="00464D88" w:rsidRPr="003B4E76" w:rsidRDefault="00464D88" w:rsidP="00464D88">
            <w:pPr>
              <w:spacing w:before="40" w:after="40"/>
              <w:jc w:val="center"/>
              <w:rPr>
                <w:rFonts w:eastAsiaTheme="majorEastAsia"/>
                <w:sz w:val="21"/>
                <w:szCs w:val="21"/>
              </w:rPr>
            </w:pPr>
            <w:r w:rsidRPr="00475173">
              <w:rPr>
                <w:rFonts w:eastAsiaTheme="majorEastAsia"/>
                <w:sz w:val="21"/>
                <w:szCs w:val="21"/>
              </w:rPr>
              <w:t>Police Beats</w:t>
            </w:r>
          </w:p>
        </w:tc>
        <w:tc>
          <w:tcPr>
            <w:tcW w:w="5485" w:type="dxa"/>
            <w:vMerge/>
            <w:vAlign w:val="center"/>
          </w:tcPr>
          <w:p w14:paraId="7FB38B10" w14:textId="77777777" w:rsidR="00464D88" w:rsidRPr="00475173" w:rsidRDefault="00464D88" w:rsidP="00945C67">
            <w:pPr>
              <w:spacing w:before="40" w:after="40"/>
              <w:jc w:val="left"/>
              <w:rPr>
                <w:rFonts w:eastAsiaTheme="majorEastAsia"/>
                <w:sz w:val="21"/>
                <w:szCs w:val="21"/>
              </w:rPr>
            </w:pPr>
          </w:p>
        </w:tc>
      </w:tr>
      <w:tr w:rsidR="00464D88" w:rsidRPr="003B4E76" w14:paraId="7854F850" w14:textId="7BDE2F0D" w:rsidTr="00945C67">
        <w:trPr>
          <w:trHeight w:val="278"/>
        </w:trPr>
        <w:tc>
          <w:tcPr>
            <w:tcW w:w="1350" w:type="dxa"/>
            <w:vMerge/>
          </w:tcPr>
          <w:p w14:paraId="57E1CED8" w14:textId="77777777" w:rsidR="00464D88" w:rsidRPr="003B4E76" w:rsidRDefault="00464D88" w:rsidP="00464D88">
            <w:pPr>
              <w:spacing w:before="40" w:after="40"/>
              <w:rPr>
                <w:rFonts w:eastAsiaTheme="majorEastAsia"/>
                <w:b/>
                <w:sz w:val="21"/>
                <w:szCs w:val="21"/>
              </w:rPr>
            </w:pPr>
          </w:p>
        </w:tc>
        <w:tc>
          <w:tcPr>
            <w:tcW w:w="1620" w:type="dxa"/>
            <w:shd w:val="clear" w:color="auto" w:fill="DAEEF3" w:themeFill="accent5" w:themeFillTint="33"/>
          </w:tcPr>
          <w:p w14:paraId="0CC9095E" w14:textId="77777777" w:rsidR="00464D88" w:rsidRPr="003B4E76" w:rsidRDefault="00464D88" w:rsidP="00464D88">
            <w:pPr>
              <w:spacing w:before="40" w:after="40"/>
              <w:ind w:left="1"/>
              <w:jc w:val="left"/>
              <w:rPr>
                <w:rFonts w:cs="Arial"/>
                <w:b/>
                <w:sz w:val="21"/>
                <w:szCs w:val="21"/>
              </w:rPr>
            </w:pPr>
            <w:r w:rsidRPr="003B4E76">
              <w:rPr>
                <w:rFonts w:cs="Arial"/>
                <w:b/>
                <w:sz w:val="21"/>
                <w:szCs w:val="21"/>
              </w:rPr>
              <w:t>Arrests among youth</w:t>
            </w:r>
          </w:p>
        </w:tc>
        <w:tc>
          <w:tcPr>
            <w:tcW w:w="3965" w:type="dxa"/>
            <w:shd w:val="clear" w:color="auto" w:fill="DAEEF3" w:themeFill="accent5" w:themeFillTint="33"/>
          </w:tcPr>
          <w:p w14:paraId="177906E9" w14:textId="77777777" w:rsidR="00464D88" w:rsidRPr="003B4E76" w:rsidRDefault="00464D88" w:rsidP="00464D88">
            <w:pPr>
              <w:spacing w:before="40" w:after="40"/>
              <w:jc w:val="left"/>
              <w:rPr>
                <w:rFonts w:eastAsiaTheme="majorEastAsia"/>
                <w:sz w:val="21"/>
                <w:szCs w:val="21"/>
              </w:rPr>
            </w:pPr>
            <w:r w:rsidRPr="003B4E76">
              <w:rPr>
                <w:rFonts w:eastAsiaTheme="majorEastAsia"/>
                <w:sz w:val="21"/>
                <w:szCs w:val="21"/>
              </w:rPr>
              <w:t>Arrests per 1,000 youth (age 12-17)</w:t>
            </w:r>
          </w:p>
        </w:tc>
        <w:tc>
          <w:tcPr>
            <w:tcW w:w="990" w:type="dxa"/>
            <w:vMerge/>
            <w:shd w:val="clear" w:color="auto" w:fill="DAEEF3" w:themeFill="accent5" w:themeFillTint="33"/>
          </w:tcPr>
          <w:p w14:paraId="4EB88DC3" w14:textId="77777777" w:rsidR="00464D88" w:rsidRPr="003B4E76" w:rsidRDefault="00464D88" w:rsidP="00464D88">
            <w:pPr>
              <w:spacing w:before="40" w:after="40"/>
              <w:jc w:val="center"/>
              <w:rPr>
                <w:rFonts w:eastAsiaTheme="majorEastAsia"/>
                <w:sz w:val="21"/>
                <w:szCs w:val="21"/>
              </w:rPr>
            </w:pPr>
          </w:p>
        </w:tc>
        <w:tc>
          <w:tcPr>
            <w:tcW w:w="990" w:type="dxa"/>
            <w:shd w:val="clear" w:color="auto" w:fill="DAEEF3" w:themeFill="accent5" w:themeFillTint="33"/>
          </w:tcPr>
          <w:p w14:paraId="19233FD8" w14:textId="77777777" w:rsidR="00464D88" w:rsidRPr="003B4E76" w:rsidRDefault="00464D88" w:rsidP="00464D88">
            <w:pPr>
              <w:spacing w:before="40" w:after="40"/>
              <w:jc w:val="center"/>
              <w:rPr>
                <w:rFonts w:eastAsiaTheme="majorEastAsia"/>
                <w:sz w:val="21"/>
                <w:szCs w:val="21"/>
              </w:rPr>
            </w:pPr>
            <w:r w:rsidRPr="00475173">
              <w:rPr>
                <w:rFonts w:eastAsiaTheme="majorEastAsia"/>
                <w:sz w:val="21"/>
                <w:szCs w:val="21"/>
              </w:rPr>
              <w:t>Police Beats</w:t>
            </w:r>
          </w:p>
        </w:tc>
        <w:tc>
          <w:tcPr>
            <w:tcW w:w="5485" w:type="dxa"/>
            <w:vMerge/>
            <w:shd w:val="clear" w:color="auto" w:fill="DAEEF3" w:themeFill="accent5" w:themeFillTint="33"/>
            <w:vAlign w:val="center"/>
          </w:tcPr>
          <w:p w14:paraId="3E7206DC" w14:textId="77777777" w:rsidR="00464D88" w:rsidRPr="00475173" w:rsidRDefault="00464D88" w:rsidP="00945C67">
            <w:pPr>
              <w:spacing w:before="40" w:after="40"/>
              <w:jc w:val="left"/>
              <w:rPr>
                <w:rFonts w:eastAsiaTheme="majorEastAsia"/>
                <w:sz w:val="21"/>
                <w:szCs w:val="21"/>
              </w:rPr>
            </w:pPr>
          </w:p>
        </w:tc>
      </w:tr>
      <w:tr w:rsidR="00464D88" w:rsidRPr="003B4E76" w14:paraId="2C4A52F2" w14:textId="0200CED0" w:rsidTr="00945C67">
        <w:trPr>
          <w:cnfStyle w:val="000000100000" w:firstRow="0" w:lastRow="0" w:firstColumn="0" w:lastColumn="0" w:oddVBand="0" w:evenVBand="0" w:oddHBand="1" w:evenHBand="0" w:firstRowFirstColumn="0" w:firstRowLastColumn="0" w:lastRowFirstColumn="0" w:lastRowLastColumn="0"/>
          <w:trHeight w:val="277"/>
        </w:trPr>
        <w:tc>
          <w:tcPr>
            <w:tcW w:w="1350" w:type="dxa"/>
            <w:vMerge/>
          </w:tcPr>
          <w:p w14:paraId="6EC713C4" w14:textId="77777777" w:rsidR="00464D88" w:rsidRPr="003B4E76" w:rsidRDefault="00464D88" w:rsidP="00464D88">
            <w:pPr>
              <w:spacing w:before="40" w:after="40"/>
              <w:rPr>
                <w:rFonts w:eastAsiaTheme="majorEastAsia"/>
                <w:b/>
                <w:sz w:val="21"/>
                <w:szCs w:val="21"/>
              </w:rPr>
            </w:pPr>
          </w:p>
        </w:tc>
        <w:tc>
          <w:tcPr>
            <w:tcW w:w="1620" w:type="dxa"/>
          </w:tcPr>
          <w:p w14:paraId="664E2609" w14:textId="77777777" w:rsidR="00464D88" w:rsidRPr="003B4E76" w:rsidRDefault="00464D88" w:rsidP="00464D88">
            <w:pPr>
              <w:spacing w:before="40" w:after="40"/>
              <w:ind w:left="1"/>
              <w:jc w:val="left"/>
              <w:rPr>
                <w:rFonts w:cs="Arial"/>
                <w:b/>
                <w:sz w:val="21"/>
                <w:szCs w:val="21"/>
              </w:rPr>
            </w:pPr>
            <w:r w:rsidRPr="003B4E76">
              <w:rPr>
                <w:rFonts w:cs="Arial"/>
                <w:b/>
                <w:sz w:val="21"/>
                <w:szCs w:val="21"/>
              </w:rPr>
              <w:t>Arrests among adults</w:t>
            </w:r>
          </w:p>
        </w:tc>
        <w:tc>
          <w:tcPr>
            <w:tcW w:w="3965" w:type="dxa"/>
          </w:tcPr>
          <w:p w14:paraId="5F160D65" w14:textId="77777777" w:rsidR="00464D88" w:rsidRPr="003B4E76" w:rsidRDefault="00464D88" w:rsidP="00464D88">
            <w:pPr>
              <w:spacing w:before="40" w:after="40"/>
              <w:jc w:val="left"/>
              <w:rPr>
                <w:rFonts w:eastAsiaTheme="majorEastAsia"/>
                <w:sz w:val="21"/>
                <w:szCs w:val="21"/>
              </w:rPr>
            </w:pPr>
            <w:r w:rsidRPr="003B4E76">
              <w:rPr>
                <w:rFonts w:eastAsiaTheme="majorEastAsia"/>
                <w:sz w:val="21"/>
                <w:szCs w:val="21"/>
              </w:rPr>
              <w:t>Arrests per 1,000 adults (age 18 and older)</w:t>
            </w:r>
          </w:p>
        </w:tc>
        <w:tc>
          <w:tcPr>
            <w:tcW w:w="990" w:type="dxa"/>
            <w:vMerge/>
          </w:tcPr>
          <w:p w14:paraId="41ECEDED" w14:textId="77777777" w:rsidR="00464D88" w:rsidRPr="003B4E76" w:rsidRDefault="00464D88" w:rsidP="00464D88">
            <w:pPr>
              <w:spacing w:before="40" w:after="40"/>
              <w:jc w:val="center"/>
              <w:rPr>
                <w:rFonts w:eastAsiaTheme="majorEastAsia"/>
                <w:sz w:val="21"/>
                <w:szCs w:val="21"/>
              </w:rPr>
            </w:pPr>
          </w:p>
        </w:tc>
        <w:tc>
          <w:tcPr>
            <w:tcW w:w="990" w:type="dxa"/>
          </w:tcPr>
          <w:p w14:paraId="3970827A" w14:textId="77777777" w:rsidR="00464D88" w:rsidRPr="003B4E76" w:rsidRDefault="00464D88" w:rsidP="00464D88">
            <w:pPr>
              <w:spacing w:before="40" w:after="40"/>
              <w:jc w:val="center"/>
              <w:rPr>
                <w:rFonts w:eastAsiaTheme="majorEastAsia"/>
                <w:sz w:val="21"/>
                <w:szCs w:val="21"/>
              </w:rPr>
            </w:pPr>
            <w:r w:rsidRPr="00475173">
              <w:rPr>
                <w:rFonts w:eastAsiaTheme="majorEastAsia"/>
                <w:sz w:val="21"/>
                <w:szCs w:val="21"/>
              </w:rPr>
              <w:t>Police Beats</w:t>
            </w:r>
          </w:p>
        </w:tc>
        <w:tc>
          <w:tcPr>
            <w:tcW w:w="5485" w:type="dxa"/>
            <w:vMerge/>
            <w:vAlign w:val="center"/>
          </w:tcPr>
          <w:p w14:paraId="773CD3D8" w14:textId="77777777" w:rsidR="00464D88" w:rsidRPr="00475173" w:rsidRDefault="00464D88" w:rsidP="00945C67">
            <w:pPr>
              <w:spacing w:before="40" w:after="40"/>
              <w:jc w:val="left"/>
              <w:rPr>
                <w:rFonts w:eastAsiaTheme="majorEastAsia"/>
                <w:sz w:val="21"/>
                <w:szCs w:val="21"/>
              </w:rPr>
            </w:pPr>
          </w:p>
        </w:tc>
      </w:tr>
      <w:tr w:rsidR="00464D88" w:rsidRPr="003B4E76" w14:paraId="03752E1A" w14:textId="594338A5" w:rsidTr="008055D4">
        <w:trPr>
          <w:trHeight w:val="485"/>
        </w:trPr>
        <w:tc>
          <w:tcPr>
            <w:tcW w:w="1350" w:type="dxa"/>
            <w:shd w:val="clear" w:color="auto" w:fill="FFFFFF" w:themeFill="background1"/>
          </w:tcPr>
          <w:p w14:paraId="3A5CD279" w14:textId="77777777" w:rsidR="00464D88" w:rsidRPr="003B4E76" w:rsidRDefault="00464D88" w:rsidP="00464D88">
            <w:pPr>
              <w:spacing w:before="40" w:after="40"/>
              <w:jc w:val="center"/>
              <w:rPr>
                <w:rFonts w:eastAsiaTheme="majorEastAsia"/>
                <w:b/>
                <w:sz w:val="21"/>
                <w:szCs w:val="21"/>
              </w:rPr>
            </w:pPr>
            <w:r w:rsidRPr="003B4E76">
              <w:rPr>
                <w:rFonts w:eastAsiaTheme="majorEastAsia"/>
                <w:b/>
                <w:sz w:val="21"/>
                <w:szCs w:val="21"/>
              </w:rPr>
              <w:t>Population Data</w:t>
            </w:r>
          </w:p>
        </w:tc>
        <w:tc>
          <w:tcPr>
            <w:tcW w:w="1620" w:type="dxa"/>
            <w:shd w:val="clear" w:color="auto" w:fill="FFFFFF" w:themeFill="background1"/>
          </w:tcPr>
          <w:p w14:paraId="16034D84" w14:textId="77777777" w:rsidR="00464D88" w:rsidRPr="003B4E76" w:rsidRDefault="00464D88" w:rsidP="00464D88">
            <w:pPr>
              <w:spacing w:before="40" w:after="40"/>
              <w:ind w:left="1"/>
              <w:jc w:val="left"/>
              <w:rPr>
                <w:rFonts w:cs="Arial"/>
                <w:b/>
                <w:sz w:val="21"/>
                <w:szCs w:val="21"/>
              </w:rPr>
            </w:pPr>
            <w:r w:rsidRPr="003B4E76">
              <w:rPr>
                <w:rFonts w:cs="Arial"/>
                <w:b/>
                <w:sz w:val="21"/>
                <w:szCs w:val="21"/>
              </w:rPr>
              <w:t xml:space="preserve">Census Tract Population </w:t>
            </w:r>
          </w:p>
        </w:tc>
        <w:tc>
          <w:tcPr>
            <w:tcW w:w="3965" w:type="dxa"/>
            <w:shd w:val="clear" w:color="auto" w:fill="FFFFFF" w:themeFill="background1"/>
          </w:tcPr>
          <w:p w14:paraId="17C18777" w14:textId="77777777" w:rsidR="00464D88" w:rsidRPr="003B4E76" w:rsidRDefault="00464D88" w:rsidP="00464D88">
            <w:pPr>
              <w:spacing w:before="40" w:after="40"/>
              <w:jc w:val="left"/>
              <w:rPr>
                <w:rFonts w:eastAsiaTheme="majorEastAsia"/>
                <w:sz w:val="21"/>
                <w:szCs w:val="21"/>
              </w:rPr>
            </w:pPr>
            <w:r w:rsidRPr="003B4E76">
              <w:rPr>
                <w:rFonts w:eastAsiaTheme="majorEastAsia"/>
                <w:sz w:val="21"/>
                <w:szCs w:val="21"/>
              </w:rPr>
              <w:t>Total Population</w:t>
            </w:r>
            <w:r>
              <w:rPr>
                <w:rFonts w:eastAsiaTheme="majorEastAsia"/>
                <w:sz w:val="21"/>
                <w:szCs w:val="21"/>
              </w:rPr>
              <w:t>, by Race and Ethnicity</w:t>
            </w:r>
          </w:p>
        </w:tc>
        <w:tc>
          <w:tcPr>
            <w:tcW w:w="990" w:type="dxa"/>
            <w:shd w:val="clear" w:color="auto" w:fill="FFFFFF" w:themeFill="background1"/>
          </w:tcPr>
          <w:p w14:paraId="3D9D3D78" w14:textId="77777777" w:rsidR="00464D88" w:rsidRPr="003B4E76" w:rsidRDefault="00464D88" w:rsidP="00464D88">
            <w:pPr>
              <w:spacing w:before="40" w:after="40"/>
              <w:jc w:val="center"/>
              <w:rPr>
                <w:rFonts w:eastAsiaTheme="majorEastAsia"/>
                <w:sz w:val="21"/>
                <w:szCs w:val="21"/>
              </w:rPr>
            </w:pPr>
            <w:r w:rsidRPr="003B4E76">
              <w:rPr>
                <w:rFonts w:eastAsiaTheme="majorEastAsia"/>
                <w:sz w:val="21"/>
                <w:szCs w:val="21"/>
              </w:rPr>
              <w:t>2018</w:t>
            </w:r>
          </w:p>
        </w:tc>
        <w:tc>
          <w:tcPr>
            <w:tcW w:w="990" w:type="dxa"/>
            <w:shd w:val="clear" w:color="auto" w:fill="FFFFFF" w:themeFill="background1"/>
          </w:tcPr>
          <w:p w14:paraId="544C0553" w14:textId="77777777" w:rsidR="00464D88" w:rsidRPr="003B4E76" w:rsidRDefault="00464D88" w:rsidP="00464D88">
            <w:pPr>
              <w:spacing w:before="40" w:after="40"/>
              <w:jc w:val="center"/>
              <w:rPr>
                <w:rFonts w:eastAsiaTheme="majorEastAsia"/>
                <w:sz w:val="21"/>
                <w:szCs w:val="21"/>
              </w:rPr>
            </w:pPr>
            <w:r>
              <w:rPr>
                <w:rFonts w:eastAsiaTheme="majorEastAsia"/>
                <w:sz w:val="21"/>
                <w:szCs w:val="21"/>
              </w:rPr>
              <w:t>Census Tracts</w:t>
            </w:r>
          </w:p>
        </w:tc>
        <w:tc>
          <w:tcPr>
            <w:tcW w:w="5485" w:type="dxa"/>
            <w:shd w:val="clear" w:color="auto" w:fill="FFFFFF" w:themeFill="background1"/>
            <w:vAlign w:val="center"/>
          </w:tcPr>
          <w:p w14:paraId="2B91387A" w14:textId="66C2B102" w:rsidR="00464D88" w:rsidRDefault="008055D4" w:rsidP="008055D4">
            <w:pPr>
              <w:spacing w:before="40" w:after="40"/>
              <w:jc w:val="center"/>
              <w:rPr>
                <w:rFonts w:eastAsiaTheme="majorEastAsia"/>
                <w:sz w:val="21"/>
                <w:szCs w:val="21"/>
              </w:rPr>
            </w:pPr>
            <w:r w:rsidRPr="00516E98">
              <w:rPr>
                <w:rFonts w:eastAsiaTheme="majorEastAsia"/>
                <w:i/>
                <w:sz w:val="21"/>
                <w:szCs w:val="21"/>
              </w:rPr>
              <w:t xml:space="preserve">U.S. Census Bureau American Community Survey, 2017 American Community Survey 5 Year Estimates. Table </w:t>
            </w:r>
            <w:r>
              <w:rPr>
                <w:rFonts w:eastAsiaTheme="majorEastAsia"/>
                <w:i/>
                <w:sz w:val="21"/>
                <w:szCs w:val="21"/>
              </w:rPr>
              <w:t>DP05</w:t>
            </w:r>
            <w:r w:rsidRPr="00516E98">
              <w:rPr>
                <w:rFonts w:eastAsiaTheme="majorEastAsia"/>
                <w:i/>
                <w:sz w:val="21"/>
                <w:szCs w:val="21"/>
              </w:rPr>
              <w:t>.</w:t>
            </w:r>
          </w:p>
        </w:tc>
      </w:tr>
    </w:tbl>
    <w:p w14:paraId="1E2A3869" w14:textId="77777777" w:rsidR="008055D4" w:rsidRDefault="008055D4" w:rsidP="002B29BB">
      <w:pPr>
        <w:pStyle w:val="Heading1"/>
        <w:sectPr w:rsidR="008055D4" w:rsidSect="00464D88">
          <w:pgSz w:w="15840" w:h="12240" w:orient="landscape" w:code="1"/>
          <w:pgMar w:top="1440" w:right="1440" w:bottom="1440" w:left="1440" w:header="720" w:footer="720" w:gutter="0"/>
          <w:cols w:space="720"/>
          <w:docGrid w:linePitch="360"/>
        </w:sectPr>
      </w:pPr>
    </w:p>
    <w:p w14:paraId="69AB2023" w14:textId="6645C883" w:rsidR="000C51F4" w:rsidRDefault="002B29BB" w:rsidP="008055D4">
      <w:pPr>
        <w:pStyle w:val="Heading1"/>
        <w:spacing w:before="0"/>
      </w:pPr>
      <w:r>
        <w:lastRenderedPageBreak/>
        <w:t>Index Methodology</w:t>
      </w:r>
    </w:p>
    <w:p w14:paraId="5B02C3EE" w14:textId="302458FB" w:rsidR="00580EFB" w:rsidRPr="00580EFB" w:rsidRDefault="003A4BE1" w:rsidP="003245FC">
      <w:r>
        <w:t>For each census tract within City of Oakla</w:t>
      </w:r>
      <w:r w:rsidR="00396C5E">
        <w:t xml:space="preserve">nd, RDA calculated a z-score </w:t>
      </w:r>
      <w:r>
        <w:t xml:space="preserve">for each stressor indicator where data were available. </w:t>
      </w:r>
      <w:r w:rsidR="00396C5E">
        <w:t>A z-score measures how far away a data point is from the overall average. A positive z-score indicates that the census tract had an estimate that is higher (i.e., more stressed) than the average across all census tract</w:t>
      </w:r>
      <w:r w:rsidR="00BF0269">
        <w:t>s</w:t>
      </w:r>
      <w:r w:rsidR="00396C5E">
        <w:t xml:space="preserve">; and, vice versa, a negative z-score indicates that the census tract had an estimate that is lower (i.e., less stressed) than the overall average. In order to calculate the cumulative effect of all indicators, </w:t>
      </w:r>
      <w:r>
        <w:t>RDA averaged z-scores across all indicators to obtain a cumulative average z-score for each</w:t>
      </w:r>
      <w:r w:rsidR="00396C5E">
        <w:t xml:space="preserve"> individual</w:t>
      </w:r>
      <w:r>
        <w:t xml:space="preserve"> census tract. The </w:t>
      </w:r>
      <w:r w:rsidR="009544B7">
        <w:t xml:space="preserve">cumulative </w:t>
      </w:r>
      <w:r>
        <w:t>average z-score was then used to rank the census tracts according to their cumulative level of stress.</w:t>
      </w:r>
      <w:r w:rsidR="00396C5E">
        <w:t xml:space="preserve"> </w:t>
      </w:r>
      <w:r>
        <w:t xml:space="preserve">The </w:t>
      </w:r>
      <w:r w:rsidR="000E1A66">
        <w:t>highest</w:t>
      </w:r>
      <w:r>
        <w:t xml:space="preserve"> rank (e.g., census tract with rank equal to </w:t>
      </w:r>
      <w:r w:rsidR="00396C5E">
        <w:t>one</w:t>
      </w:r>
      <w:r>
        <w:t xml:space="preserve">) indicates the highest level of community stress while the </w:t>
      </w:r>
      <w:r w:rsidR="000E1A66">
        <w:t>lower</w:t>
      </w:r>
      <w:r>
        <w:t xml:space="preserve"> rank</w:t>
      </w:r>
      <w:r w:rsidR="000E1A66">
        <w:t>s</w:t>
      </w:r>
      <w:r>
        <w:t xml:space="preserve"> (e.g., census tract with rank equal to 100) indicate lower community stress. This rank helps us understand the relative levels of community stress across the City of Oakland.</w:t>
      </w:r>
    </w:p>
    <w:p w14:paraId="5E75A591" w14:textId="2F2F1534" w:rsidR="002B29BB" w:rsidRDefault="002B29BB" w:rsidP="002B29BB">
      <w:pPr>
        <w:pStyle w:val="Heading1"/>
      </w:pPr>
      <w:r>
        <w:t>Limitations</w:t>
      </w:r>
    </w:p>
    <w:p w14:paraId="3C4D2BE1" w14:textId="395BEDF1" w:rsidR="00052AA8" w:rsidRDefault="00052AA8" w:rsidP="00052AA8">
      <w:r>
        <w:t>The 2019 Oakland Stressors Index was designed to be rigorous with available data. The following data and methodological limitations should be considered when interpreting the results:</w:t>
      </w:r>
    </w:p>
    <w:p w14:paraId="16C405E7" w14:textId="1F9270FA" w:rsidR="00052AA8" w:rsidRDefault="00052AA8" w:rsidP="00052AA8">
      <w:pPr>
        <w:pStyle w:val="ListParagraph"/>
        <w:numPr>
          <w:ilvl w:val="0"/>
          <w:numId w:val="17"/>
        </w:numPr>
      </w:pPr>
      <w:r w:rsidRPr="00052AA8">
        <w:rPr>
          <w:b/>
        </w:rPr>
        <w:t>Comparability.</w:t>
      </w:r>
      <w:r>
        <w:t xml:space="preserve"> Due to the different methodology and </w:t>
      </w:r>
      <w:r w:rsidR="002C173C">
        <w:t xml:space="preserve">the </w:t>
      </w:r>
      <w:r>
        <w:t>addition of extra indicators, the 2019 Oakland Stressors Index is not comparable to prior iterations of the Oakland Stressors Index.</w:t>
      </w:r>
    </w:p>
    <w:p w14:paraId="03291EDE" w14:textId="49811D5B" w:rsidR="00052AA8" w:rsidRDefault="00052AA8" w:rsidP="00052AA8">
      <w:pPr>
        <w:pStyle w:val="ListParagraph"/>
        <w:numPr>
          <w:ilvl w:val="0"/>
          <w:numId w:val="17"/>
        </w:numPr>
      </w:pPr>
      <w:r w:rsidRPr="00052AA8">
        <w:rPr>
          <w:b/>
        </w:rPr>
        <w:t>Point in Time.</w:t>
      </w:r>
      <w:r>
        <w:t xml:space="preserve"> Some of the indicators (such as homeless population) are point-in-time enumerations. Thus, they are not as reliable as rates calculated over a period of time. However, they provide a proxy </w:t>
      </w:r>
      <w:r w:rsidR="00CB740D">
        <w:t xml:space="preserve">for the measure (e.g., homelessness) </w:t>
      </w:r>
      <w:r>
        <w:t xml:space="preserve">by geographic area. </w:t>
      </w:r>
    </w:p>
    <w:p w14:paraId="41945EB1" w14:textId="69E3317B" w:rsidR="00052AA8" w:rsidRDefault="009604B9" w:rsidP="00052AA8">
      <w:pPr>
        <w:pStyle w:val="ListParagraph"/>
        <w:numPr>
          <w:ilvl w:val="0"/>
          <w:numId w:val="17"/>
        </w:numPr>
      </w:pPr>
      <w:r>
        <w:rPr>
          <w:b/>
        </w:rPr>
        <w:t>Data Sources Have Staggered Years</w:t>
      </w:r>
      <w:r w:rsidR="00052AA8">
        <w:rPr>
          <w:b/>
        </w:rPr>
        <w:t>.</w:t>
      </w:r>
      <w:r w:rsidR="00052AA8">
        <w:t xml:space="preserve"> RDA utilized the most recently available data. However, some indicators </w:t>
      </w:r>
      <w:r>
        <w:t>only had data available as recent</w:t>
      </w:r>
      <w:r w:rsidR="002C173C">
        <w:t>ly</w:t>
      </w:r>
      <w:r>
        <w:t xml:space="preserve"> as 2016 and 2017. </w:t>
      </w:r>
      <w:r w:rsidR="00FE7196">
        <w:t>Older data may not reflect recent trends if indicators changed drastically in the past few years.</w:t>
      </w:r>
    </w:p>
    <w:p w14:paraId="30A25146" w14:textId="4247923D" w:rsidR="00396C5E" w:rsidRPr="003A3A66" w:rsidRDefault="00396C5E" w:rsidP="00052AA8">
      <w:pPr>
        <w:pStyle w:val="ListParagraph"/>
        <w:numPr>
          <w:ilvl w:val="0"/>
          <w:numId w:val="17"/>
        </w:numPr>
      </w:pPr>
      <w:r>
        <w:rPr>
          <w:b/>
        </w:rPr>
        <w:t>Geographic Transformation.</w:t>
      </w:r>
      <w:r w:rsidRPr="00396C5E">
        <w:t xml:space="preserve"> </w:t>
      </w:r>
      <w:r w:rsidR="003A3A66">
        <w:t>Certain indicators (i.e., Probation Rates, OPD Stops, Crime Rates)</w:t>
      </w:r>
      <w:r w:rsidR="003A3A66">
        <w:rPr>
          <w:b/>
        </w:rPr>
        <w:t xml:space="preserve"> </w:t>
      </w:r>
      <w:r w:rsidR="003A3A66">
        <w:t>only had data available at a geographic scale that was larger than a census tract</w:t>
      </w:r>
      <w:r>
        <w:rPr>
          <w:b/>
        </w:rPr>
        <w:t xml:space="preserve"> </w:t>
      </w:r>
      <w:r w:rsidR="003A3A66" w:rsidRPr="003A3A66">
        <w:t>(i.e., zip code, police beat).</w:t>
      </w:r>
      <w:r w:rsidR="00291BAD">
        <w:t xml:space="preserve"> Thus, several census tracts may fall within a larger zip code or police beat. RDA applied spatial smoothing method</w:t>
      </w:r>
      <w:r w:rsidR="008055D4">
        <w:t>s</w:t>
      </w:r>
      <w:r w:rsidR="00291BAD">
        <w:t xml:space="preserve"> to calculate </w:t>
      </w:r>
      <w:r w:rsidR="00F328AE">
        <w:t>an estimated</w:t>
      </w:r>
      <w:r w:rsidR="00291BAD">
        <w:t xml:space="preserve"> indicator </w:t>
      </w:r>
      <w:r w:rsidR="00F328AE">
        <w:t>rate</w:t>
      </w:r>
      <w:r w:rsidR="00291BAD">
        <w:t xml:space="preserve"> for each census tract. Since this technique assumes equa</w:t>
      </w:r>
      <w:r w:rsidR="007323A5">
        <w:t xml:space="preserve">l distribution of </w:t>
      </w:r>
      <w:r w:rsidR="00CB740D">
        <w:t xml:space="preserve">these data points across </w:t>
      </w:r>
      <w:r w:rsidR="00291BAD">
        <w:t xml:space="preserve">a </w:t>
      </w:r>
      <w:r w:rsidR="00833931">
        <w:t xml:space="preserve">large area (i.e., </w:t>
      </w:r>
      <w:r w:rsidR="00291BAD">
        <w:t>zip code or police beat</w:t>
      </w:r>
      <w:r w:rsidR="00833931">
        <w:t>)</w:t>
      </w:r>
      <w:r w:rsidR="00291BAD">
        <w:t xml:space="preserve">, the census-tract level trends may not </w:t>
      </w:r>
      <w:r w:rsidR="00CB740D">
        <w:t>p</w:t>
      </w:r>
      <w:r w:rsidR="00E30A77">
        <w:t>recisely</w:t>
      </w:r>
      <w:r w:rsidR="00CB740D">
        <w:t xml:space="preserve"> </w:t>
      </w:r>
      <w:r w:rsidR="00291BAD">
        <w:t xml:space="preserve">capture </w:t>
      </w:r>
      <w:r w:rsidR="00F328AE">
        <w:t xml:space="preserve">neighborhood-level </w:t>
      </w:r>
      <w:r w:rsidR="00CB740D">
        <w:t>differences</w:t>
      </w:r>
      <w:r w:rsidR="007323A5">
        <w:t>.</w:t>
      </w:r>
    </w:p>
    <w:p w14:paraId="0873C2DC" w14:textId="19F0EAE4" w:rsidR="005409E0" w:rsidRPr="00052AA8" w:rsidRDefault="005409E0" w:rsidP="005409E0">
      <w:pPr>
        <w:ind w:left="360"/>
      </w:pPr>
    </w:p>
    <w:sectPr w:rsidR="005409E0" w:rsidRPr="00052AA8" w:rsidSect="008055D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9098D" w14:textId="77777777" w:rsidR="00A61D72" w:rsidRDefault="00A61D72" w:rsidP="006B124A">
      <w:pPr>
        <w:spacing w:before="0" w:line="240" w:lineRule="auto"/>
      </w:pPr>
      <w:r>
        <w:separator/>
      </w:r>
    </w:p>
  </w:endnote>
  <w:endnote w:type="continuationSeparator" w:id="0">
    <w:p w14:paraId="5E73FD5C" w14:textId="77777777" w:rsidR="00A61D72" w:rsidRDefault="00A61D72" w:rsidP="006B124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6F0CB" w14:textId="45222AF6" w:rsidR="00866123" w:rsidRPr="0009679E" w:rsidRDefault="00866123" w:rsidP="002F0AB2">
    <w:pPr>
      <w:pStyle w:val="Footer"/>
      <w:tabs>
        <w:tab w:val="clear" w:pos="9360"/>
        <w:tab w:val="right" w:pos="17280"/>
      </w:tabs>
    </w:pPr>
    <w:r>
      <w:rPr>
        <w:noProof/>
      </w:rPr>
      <w:drawing>
        <wp:inline distT="0" distB="0" distL="0" distR="0" wp14:anchorId="7ECA348E" wp14:editId="2E4F28CB">
          <wp:extent cx="1140488" cy="379961"/>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jpg"/>
                  <pic:cNvPicPr/>
                </pic:nvPicPr>
                <pic:blipFill rotWithShape="1">
                  <a:blip r:embed="rId1" cstate="print">
                    <a:extLst>
                      <a:ext uri="{28A0092B-C50C-407E-A947-70E740481C1C}">
                        <a14:useLocalDpi xmlns:a14="http://schemas.microsoft.com/office/drawing/2010/main" val="0"/>
                      </a:ext>
                    </a:extLst>
                  </a:blip>
                  <a:srcRect l="10753" t="22667" r="7886" b="23225"/>
                  <a:stretch/>
                </pic:blipFill>
                <pic:spPr bwMode="auto">
                  <a:xfrm>
                    <a:off x="0" y="0"/>
                    <a:ext cx="1139211" cy="379535"/>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00E30A77">
      <w:t>May 2020</w:t>
    </w:r>
    <w:r>
      <w:t xml:space="preserve"> | </w:t>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65AEC" w14:textId="77777777" w:rsidR="00A61D72" w:rsidRDefault="00A61D72" w:rsidP="006B124A">
      <w:pPr>
        <w:spacing w:before="0" w:line="240" w:lineRule="auto"/>
      </w:pPr>
      <w:r>
        <w:separator/>
      </w:r>
    </w:p>
  </w:footnote>
  <w:footnote w:type="continuationSeparator" w:id="0">
    <w:p w14:paraId="2B95BA32" w14:textId="77777777" w:rsidR="00A61D72" w:rsidRDefault="00A61D72" w:rsidP="006B124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A5997" w14:textId="77777777" w:rsidR="00866123" w:rsidRPr="009969B8" w:rsidRDefault="00866123" w:rsidP="00680C9F">
    <w:pPr>
      <w:pStyle w:val="NoSpacing"/>
      <w:pBdr>
        <w:bottom w:val="single" w:sz="2" w:space="1" w:color="7F7F7F"/>
      </w:pBdr>
      <w:spacing w:before="0" w:after="0"/>
      <w:ind w:left="720"/>
      <w:rPr>
        <w:rFonts w:asciiTheme="minorHAnsi" w:hAnsiTheme="minorHAnsi"/>
        <w:b/>
        <w:noProof/>
        <w:color w:val="404040"/>
      </w:rPr>
    </w:pPr>
    <w:r w:rsidRPr="00BA4C7D">
      <w:rPr>
        <w:rFonts w:asciiTheme="minorHAnsi" w:hAnsiTheme="minorHAnsi"/>
        <w:b/>
        <w:bCs/>
        <w:iCs/>
        <w:noProof/>
        <w:color w:val="404040"/>
      </w:rPr>
      <w:drawing>
        <wp:anchor distT="0" distB="0" distL="114300" distR="114300" simplePos="0" relativeHeight="251659264" behindDoc="0" locked="0" layoutInCell="1" allowOverlap="1" wp14:anchorId="7C9D3706" wp14:editId="3654D672">
          <wp:simplePos x="0" y="0"/>
          <wp:positionH relativeFrom="column">
            <wp:posOffset>-152400</wp:posOffset>
          </wp:positionH>
          <wp:positionV relativeFrom="paragraph">
            <wp:posOffset>-190500</wp:posOffset>
          </wp:positionV>
          <wp:extent cx="504825" cy="680926"/>
          <wp:effectExtent l="0" t="0" r="0" b="5080"/>
          <wp:wrapNone/>
          <wp:docPr id="15" name="Picture 2" descr="Image result for city of oakland h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city of oakland hs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680926"/>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noProof/>
        <w:color w:val="404040"/>
      </w:rPr>
      <w:t xml:space="preserve">City of Oakland Community Stressors Index </w:t>
    </w:r>
  </w:p>
  <w:p w14:paraId="61BBCC65" w14:textId="1EB6503D" w:rsidR="00866123" w:rsidRPr="009969B8" w:rsidRDefault="00866123" w:rsidP="00680C9F">
    <w:pPr>
      <w:pStyle w:val="NoSpacing"/>
      <w:pBdr>
        <w:bottom w:val="single" w:sz="2" w:space="1" w:color="7F7F7F"/>
      </w:pBdr>
      <w:spacing w:before="0" w:after="0"/>
      <w:ind w:left="720"/>
      <w:rPr>
        <w:rFonts w:asciiTheme="minorHAnsi" w:hAnsiTheme="minorHAnsi"/>
      </w:rPr>
    </w:pPr>
    <w:r>
      <w:rPr>
        <w:rFonts w:asciiTheme="minorHAnsi" w:hAnsiTheme="minorHAnsi"/>
        <w:i/>
        <w:color w:val="404040"/>
      </w:rPr>
      <w:t>Oakland Stressor Index Methodology</w:t>
    </w:r>
  </w:p>
  <w:p w14:paraId="6E8C1B51" w14:textId="2FEA2F6E" w:rsidR="00866123" w:rsidRPr="00680C9F" w:rsidRDefault="00866123" w:rsidP="00680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in;height:8in" o:bullet="t">
        <v:imagedata r:id="rId1" o:title="768px-Square_-_black_simple"/>
      </v:shape>
    </w:pict>
  </w:numPicBullet>
  <w:numPicBullet w:numPicBulletId="1">
    <w:pict>
      <v:shape id="_x0000_i1035" type="#_x0000_t75" style="width:225.75pt;height:223.5pt" o:bullet="t">
        <v:imagedata r:id="rId2" o:title="Ay58y[1]"/>
      </v:shape>
    </w:pict>
  </w:numPicBullet>
  <w:abstractNum w:abstractNumId="0" w15:restartNumberingAfterBreak="0">
    <w:nsid w:val="1C2612C7"/>
    <w:multiLevelType w:val="hybridMultilevel"/>
    <w:tmpl w:val="18F0F0BA"/>
    <w:lvl w:ilvl="0" w:tplc="06F43CB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B7E27"/>
    <w:multiLevelType w:val="hybridMultilevel"/>
    <w:tmpl w:val="6CFA5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634EC"/>
    <w:multiLevelType w:val="hybridMultilevel"/>
    <w:tmpl w:val="D57A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2448B"/>
    <w:multiLevelType w:val="multilevel"/>
    <w:tmpl w:val="B57CF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C7530"/>
    <w:multiLevelType w:val="hybridMultilevel"/>
    <w:tmpl w:val="E4E60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A34AA"/>
    <w:multiLevelType w:val="hybridMultilevel"/>
    <w:tmpl w:val="57862476"/>
    <w:lvl w:ilvl="0" w:tplc="FA30A9BE">
      <w:start w:val="2019"/>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05EE6"/>
    <w:multiLevelType w:val="hybridMultilevel"/>
    <w:tmpl w:val="CAFA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22F8F"/>
    <w:multiLevelType w:val="multilevel"/>
    <w:tmpl w:val="63867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4918BC"/>
    <w:multiLevelType w:val="hybridMultilevel"/>
    <w:tmpl w:val="1262B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A7B21"/>
    <w:multiLevelType w:val="hybridMultilevel"/>
    <w:tmpl w:val="D57A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160F7"/>
    <w:multiLevelType w:val="hybridMultilevel"/>
    <w:tmpl w:val="457C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750D2"/>
    <w:multiLevelType w:val="hybridMultilevel"/>
    <w:tmpl w:val="C32A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139EA"/>
    <w:multiLevelType w:val="hybridMultilevel"/>
    <w:tmpl w:val="3056D3C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685A1A6C"/>
    <w:multiLevelType w:val="hybridMultilevel"/>
    <w:tmpl w:val="A3ACADC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6A88418F"/>
    <w:multiLevelType w:val="hybridMultilevel"/>
    <w:tmpl w:val="3CEA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C1997"/>
    <w:multiLevelType w:val="hybridMultilevel"/>
    <w:tmpl w:val="D57A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4"/>
  </w:num>
  <w:num w:numId="5">
    <w:abstractNumId w:val="12"/>
  </w:num>
  <w:num w:numId="6">
    <w:abstractNumId w:val="6"/>
  </w:num>
  <w:num w:numId="7">
    <w:abstractNumId w:val="9"/>
  </w:num>
  <w:num w:numId="8">
    <w:abstractNumId w:val="13"/>
  </w:num>
  <w:num w:numId="9">
    <w:abstractNumId w:val="2"/>
  </w:num>
  <w:num w:numId="10">
    <w:abstractNumId w:val="0"/>
  </w:num>
  <w:num w:numId="11">
    <w:abstractNumId w:val="15"/>
  </w:num>
  <w:num w:numId="12">
    <w:abstractNumId w:val="3"/>
  </w:num>
  <w:num w:numId="13">
    <w:abstractNumId w:val="7"/>
  </w:num>
  <w:num w:numId="14">
    <w:abstractNumId w:val="7"/>
    <w:lvlOverride w:ilvl="3">
      <w:lvl w:ilvl="3">
        <w:numFmt w:val="bullet"/>
        <w:lvlText w:val=""/>
        <w:lvlJc w:val="left"/>
        <w:pPr>
          <w:tabs>
            <w:tab w:val="num" w:pos="2880"/>
          </w:tabs>
          <w:ind w:left="2880" w:hanging="360"/>
        </w:pPr>
        <w:rPr>
          <w:rFonts w:ascii="Symbol" w:hAnsi="Symbol" w:hint="default"/>
          <w:sz w:val="20"/>
        </w:rPr>
      </w:lvl>
    </w:lvlOverride>
  </w:num>
  <w:num w:numId="15">
    <w:abstractNumId w:val="5"/>
  </w:num>
  <w:num w:numId="16">
    <w:abstractNumId w:val="11"/>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6E"/>
    <w:rsid w:val="000001F4"/>
    <w:rsid w:val="000002AE"/>
    <w:rsid w:val="0000156F"/>
    <w:rsid w:val="000052E3"/>
    <w:rsid w:val="000072EF"/>
    <w:rsid w:val="00010961"/>
    <w:rsid w:val="0001496C"/>
    <w:rsid w:val="00023314"/>
    <w:rsid w:val="00025ED2"/>
    <w:rsid w:val="00052AA8"/>
    <w:rsid w:val="0005523C"/>
    <w:rsid w:val="00057048"/>
    <w:rsid w:val="0006223E"/>
    <w:rsid w:val="00062A05"/>
    <w:rsid w:val="00063165"/>
    <w:rsid w:val="00064A89"/>
    <w:rsid w:val="00065AF5"/>
    <w:rsid w:val="000667ED"/>
    <w:rsid w:val="000671E4"/>
    <w:rsid w:val="000721D9"/>
    <w:rsid w:val="000845E3"/>
    <w:rsid w:val="00086EB9"/>
    <w:rsid w:val="00090F2C"/>
    <w:rsid w:val="0009679E"/>
    <w:rsid w:val="000A0C2B"/>
    <w:rsid w:val="000B41FB"/>
    <w:rsid w:val="000B45E5"/>
    <w:rsid w:val="000C51F4"/>
    <w:rsid w:val="000D1915"/>
    <w:rsid w:val="000D330F"/>
    <w:rsid w:val="000E07F2"/>
    <w:rsid w:val="000E1A66"/>
    <w:rsid w:val="000E6951"/>
    <w:rsid w:val="000F2AAF"/>
    <w:rsid w:val="000F5FD6"/>
    <w:rsid w:val="00104B1A"/>
    <w:rsid w:val="00106A2E"/>
    <w:rsid w:val="00113A9E"/>
    <w:rsid w:val="00114519"/>
    <w:rsid w:val="0012023F"/>
    <w:rsid w:val="00121698"/>
    <w:rsid w:val="001236F5"/>
    <w:rsid w:val="00125B78"/>
    <w:rsid w:val="00132298"/>
    <w:rsid w:val="00137CF5"/>
    <w:rsid w:val="00146E6E"/>
    <w:rsid w:val="00160B82"/>
    <w:rsid w:val="00163C34"/>
    <w:rsid w:val="00164167"/>
    <w:rsid w:val="00166AD8"/>
    <w:rsid w:val="00170E88"/>
    <w:rsid w:val="00187CC0"/>
    <w:rsid w:val="001A7E3C"/>
    <w:rsid w:val="001B0F7B"/>
    <w:rsid w:val="001D6DD4"/>
    <w:rsid w:val="001D70E2"/>
    <w:rsid w:val="001E65DC"/>
    <w:rsid w:val="001F4C9E"/>
    <w:rsid w:val="001F77D1"/>
    <w:rsid w:val="002000BB"/>
    <w:rsid w:val="00200646"/>
    <w:rsid w:val="00206B07"/>
    <w:rsid w:val="002159A6"/>
    <w:rsid w:val="0021697E"/>
    <w:rsid w:val="0022312B"/>
    <w:rsid w:val="002256D2"/>
    <w:rsid w:val="002450BD"/>
    <w:rsid w:val="00250042"/>
    <w:rsid w:val="00250455"/>
    <w:rsid w:val="00256E1A"/>
    <w:rsid w:val="00260A67"/>
    <w:rsid w:val="00272528"/>
    <w:rsid w:val="0027743D"/>
    <w:rsid w:val="00280295"/>
    <w:rsid w:val="002824D6"/>
    <w:rsid w:val="0028258C"/>
    <w:rsid w:val="00287382"/>
    <w:rsid w:val="002902C5"/>
    <w:rsid w:val="00291893"/>
    <w:rsid w:val="00291BAD"/>
    <w:rsid w:val="002954F4"/>
    <w:rsid w:val="002A684E"/>
    <w:rsid w:val="002B29BB"/>
    <w:rsid w:val="002B424A"/>
    <w:rsid w:val="002C173C"/>
    <w:rsid w:val="002C2515"/>
    <w:rsid w:val="002C34F9"/>
    <w:rsid w:val="002C3C25"/>
    <w:rsid w:val="002D4B08"/>
    <w:rsid w:val="002E0C1E"/>
    <w:rsid w:val="002E271C"/>
    <w:rsid w:val="002E3FC4"/>
    <w:rsid w:val="002F0AB2"/>
    <w:rsid w:val="002F32E3"/>
    <w:rsid w:val="002F4907"/>
    <w:rsid w:val="003011D8"/>
    <w:rsid w:val="00303D38"/>
    <w:rsid w:val="003109FF"/>
    <w:rsid w:val="003168D2"/>
    <w:rsid w:val="00317006"/>
    <w:rsid w:val="00320174"/>
    <w:rsid w:val="003245FC"/>
    <w:rsid w:val="00334C90"/>
    <w:rsid w:val="003420C8"/>
    <w:rsid w:val="0034269A"/>
    <w:rsid w:val="00345A4F"/>
    <w:rsid w:val="0035261C"/>
    <w:rsid w:val="00357000"/>
    <w:rsid w:val="00361982"/>
    <w:rsid w:val="00386500"/>
    <w:rsid w:val="00392147"/>
    <w:rsid w:val="00396C5E"/>
    <w:rsid w:val="003A3A66"/>
    <w:rsid w:val="003A4BE1"/>
    <w:rsid w:val="003A5DFC"/>
    <w:rsid w:val="003B107E"/>
    <w:rsid w:val="003B44AE"/>
    <w:rsid w:val="003B4E76"/>
    <w:rsid w:val="003B6F1A"/>
    <w:rsid w:val="003C00C3"/>
    <w:rsid w:val="003D2FAE"/>
    <w:rsid w:val="003D402E"/>
    <w:rsid w:val="003D42F2"/>
    <w:rsid w:val="003D58CE"/>
    <w:rsid w:val="003E7A9F"/>
    <w:rsid w:val="003E7FBF"/>
    <w:rsid w:val="003F00EF"/>
    <w:rsid w:val="003F556D"/>
    <w:rsid w:val="0040118E"/>
    <w:rsid w:val="00411BB5"/>
    <w:rsid w:val="00413530"/>
    <w:rsid w:val="00417A1F"/>
    <w:rsid w:val="00421DA3"/>
    <w:rsid w:val="0042626A"/>
    <w:rsid w:val="00426673"/>
    <w:rsid w:val="00431EEF"/>
    <w:rsid w:val="00434C3B"/>
    <w:rsid w:val="00437D65"/>
    <w:rsid w:val="00452284"/>
    <w:rsid w:val="00454802"/>
    <w:rsid w:val="004602B1"/>
    <w:rsid w:val="00464D88"/>
    <w:rsid w:val="00476276"/>
    <w:rsid w:val="0048212C"/>
    <w:rsid w:val="0048233E"/>
    <w:rsid w:val="0048476A"/>
    <w:rsid w:val="004869D7"/>
    <w:rsid w:val="00487062"/>
    <w:rsid w:val="004876A8"/>
    <w:rsid w:val="004A3F97"/>
    <w:rsid w:val="004C500C"/>
    <w:rsid w:val="004C6895"/>
    <w:rsid w:val="004D29BF"/>
    <w:rsid w:val="004E1A55"/>
    <w:rsid w:val="004E5543"/>
    <w:rsid w:val="004F0300"/>
    <w:rsid w:val="0050556F"/>
    <w:rsid w:val="00506347"/>
    <w:rsid w:val="0050675B"/>
    <w:rsid w:val="00507584"/>
    <w:rsid w:val="00516E98"/>
    <w:rsid w:val="005178A8"/>
    <w:rsid w:val="00521A1D"/>
    <w:rsid w:val="0052631A"/>
    <w:rsid w:val="00531619"/>
    <w:rsid w:val="00532C7E"/>
    <w:rsid w:val="005409E0"/>
    <w:rsid w:val="005437C6"/>
    <w:rsid w:val="005441BB"/>
    <w:rsid w:val="005545F0"/>
    <w:rsid w:val="00554D1D"/>
    <w:rsid w:val="00564C51"/>
    <w:rsid w:val="00580EFB"/>
    <w:rsid w:val="0058326F"/>
    <w:rsid w:val="00592275"/>
    <w:rsid w:val="00594781"/>
    <w:rsid w:val="005A280B"/>
    <w:rsid w:val="005A2A67"/>
    <w:rsid w:val="005A7BEF"/>
    <w:rsid w:val="005B326F"/>
    <w:rsid w:val="005B3608"/>
    <w:rsid w:val="005B5575"/>
    <w:rsid w:val="005C3706"/>
    <w:rsid w:val="005C5915"/>
    <w:rsid w:val="005D046D"/>
    <w:rsid w:val="005D710F"/>
    <w:rsid w:val="005F2300"/>
    <w:rsid w:val="005F4AB6"/>
    <w:rsid w:val="005F7DD2"/>
    <w:rsid w:val="00601309"/>
    <w:rsid w:val="00607888"/>
    <w:rsid w:val="0061150C"/>
    <w:rsid w:val="0061170D"/>
    <w:rsid w:val="00623B38"/>
    <w:rsid w:val="006407A6"/>
    <w:rsid w:val="006503CD"/>
    <w:rsid w:val="00652F04"/>
    <w:rsid w:val="00660BFE"/>
    <w:rsid w:val="0066626D"/>
    <w:rsid w:val="00675E84"/>
    <w:rsid w:val="00680C9F"/>
    <w:rsid w:val="00681BD8"/>
    <w:rsid w:val="00687E91"/>
    <w:rsid w:val="0069046E"/>
    <w:rsid w:val="00695C9C"/>
    <w:rsid w:val="0069772D"/>
    <w:rsid w:val="006A2B78"/>
    <w:rsid w:val="006B124A"/>
    <w:rsid w:val="006C48A6"/>
    <w:rsid w:val="006D5D59"/>
    <w:rsid w:val="006D64DB"/>
    <w:rsid w:val="006E5FF7"/>
    <w:rsid w:val="006E6A39"/>
    <w:rsid w:val="006F3AD8"/>
    <w:rsid w:val="006F5CB5"/>
    <w:rsid w:val="007005E2"/>
    <w:rsid w:val="00707AC5"/>
    <w:rsid w:val="00713CEF"/>
    <w:rsid w:val="00715818"/>
    <w:rsid w:val="00717B99"/>
    <w:rsid w:val="007210B5"/>
    <w:rsid w:val="007262A6"/>
    <w:rsid w:val="007265AE"/>
    <w:rsid w:val="007323A5"/>
    <w:rsid w:val="00741163"/>
    <w:rsid w:val="007423C6"/>
    <w:rsid w:val="00745B76"/>
    <w:rsid w:val="007576A9"/>
    <w:rsid w:val="00761473"/>
    <w:rsid w:val="00764A7E"/>
    <w:rsid w:val="00767DE7"/>
    <w:rsid w:val="0077237B"/>
    <w:rsid w:val="00775427"/>
    <w:rsid w:val="00776BC5"/>
    <w:rsid w:val="00786401"/>
    <w:rsid w:val="00787093"/>
    <w:rsid w:val="0079636E"/>
    <w:rsid w:val="0079638D"/>
    <w:rsid w:val="0079731B"/>
    <w:rsid w:val="007A1889"/>
    <w:rsid w:val="007A2FFC"/>
    <w:rsid w:val="007A56D3"/>
    <w:rsid w:val="007C33CA"/>
    <w:rsid w:val="007C3A1A"/>
    <w:rsid w:val="007D1C47"/>
    <w:rsid w:val="007D2DC8"/>
    <w:rsid w:val="007D3DE1"/>
    <w:rsid w:val="007D471C"/>
    <w:rsid w:val="007D5BCD"/>
    <w:rsid w:val="007E486C"/>
    <w:rsid w:val="007E5975"/>
    <w:rsid w:val="007F3CB7"/>
    <w:rsid w:val="00801D3F"/>
    <w:rsid w:val="00801F86"/>
    <w:rsid w:val="008055D4"/>
    <w:rsid w:val="0080633E"/>
    <w:rsid w:val="00807126"/>
    <w:rsid w:val="008106B1"/>
    <w:rsid w:val="0081202B"/>
    <w:rsid w:val="00812740"/>
    <w:rsid w:val="00814D9D"/>
    <w:rsid w:val="00816442"/>
    <w:rsid w:val="00822755"/>
    <w:rsid w:val="00825E16"/>
    <w:rsid w:val="00826315"/>
    <w:rsid w:val="008329C2"/>
    <w:rsid w:val="00833931"/>
    <w:rsid w:val="00834D15"/>
    <w:rsid w:val="00836D13"/>
    <w:rsid w:val="008418BD"/>
    <w:rsid w:val="00842C89"/>
    <w:rsid w:val="00845149"/>
    <w:rsid w:val="0085312F"/>
    <w:rsid w:val="008625A0"/>
    <w:rsid w:val="00866123"/>
    <w:rsid w:val="00866D01"/>
    <w:rsid w:val="00876771"/>
    <w:rsid w:val="008777C0"/>
    <w:rsid w:val="00881768"/>
    <w:rsid w:val="008847AD"/>
    <w:rsid w:val="00890D92"/>
    <w:rsid w:val="00891AC6"/>
    <w:rsid w:val="0089643B"/>
    <w:rsid w:val="008A1041"/>
    <w:rsid w:val="008A12D3"/>
    <w:rsid w:val="008A512E"/>
    <w:rsid w:val="008D1BC0"/>
    <w:rsid w:val="008D615A"/>
    <w:rsid w:val="008D61D5"/>
    <w:rsid w:val="008D6BB4"/>
    <w:rsid w:val="008D7E58"/>
    <w:rsid w:val="008E0E8A"/>
    <w:rsid w:val="008E1982"/>
    <w:rsid w:val="008F1E11"/>
    <w:rsid w:val="00904B46"/>
    <w:rsid w:val="009067CD"/>
    <w:rsid w:val="0090704E"/>
    <w:rsid w:val="0091322D"/>
    <w:rsid w:val="00916CE9"/>
    <w:rsid w:val="00917267"/>
    <w:rsid w:val="00924AD3"/>
    <w:rsid w:val="00927F73"/>
    <w:rsid w:val="00932650"/>
    <w:rsid w:val="0093316C"/>
    <w:rsid w:val="00945C67"/>
    <w:rsid w:val="009544B7"/>
    <w:rsid w:val="009604B9"/>
    <w:rsid w:val="00967FA2"/>
    <w:rsid w:val="00970594"/>
    <w:rsid w:val="00983BB3"/>
    <w:rsid w:val="00983EAD"/>
    <w:rsid w:val="009860BD"/>
    <w:rsid w:val="009934EA"/>
    <w:rsid w:val="009A2D3C"/>
    <w:rsid w:val="009A5DBE"/>
    <w:rsid w:val="009B7CC3"/>
    <w:rsid w:val="009D1B67"/>
    <w:rsid w:val="009E4007"/>
    <w:rsid w:val="009E42D8"/>
    <w:rsid w:val="009E7281"/>
    <w:rsid w:val="009E73A5"/>
    <w:rsid w:val="009F42CA"/>
    <w:rsid w:val="009F576A"/>
    <w:rsid w:val="009F57A5"/>
    <w:rsid w:val="009F5BD6"/>
    <w:rsid w:val="00A04D45"/>
    <w:rsid w:val="00A1267C"/>
    <w:rsid w:val="00A12C8B"/>
    <w:rsid w:val="00A15D9A"/>
    <w:rsid w:val="00A20F14"/>
    <w:rsid w:val="00A21C10"/>
    <w:rsid w:val="00A30E19"/>
    <w:rsid w:val="00A3314E"/>
    <w:rsid w:val="00A368E1"/>
    <w:rsid w:val="00A42641"/>
    <w:rsid w:val="00A429D4"/>
    <w:rsid w:val="00A55952"/>
    <w:rsid w:val="00A61D72"/>
    <w:rsid w:val="00A6533D"/>
    <w:rsid w:val="00A75C73"/>
    <w:rsid w:val="00A7700D"/>
    <w:rsid w:val="00A85D10"/>
    <w:rsid w:val="00A90689"/>
    <w:rsid w:val="00A96D89"/>
    <w:rsid w:val="00AA0E4A"/>
    <w:rsid w:val="00AA11AF"/>
    <w:rsid w:val="00AA14F3"/>
    <w:rsid w:val="00AA463B"/>
    <w:rsid w:val="00AC06C3"/>
    <w:rsid w:val="00AC227B"/>
    <w:rsid w:val="00AC663A"/>
    <w:rsid w:val="00AD0C51"/>
    <w:rsid w:val="00AD0C76"/>
    <w:rsid w:val="00AD1560"/>
    <w:rsid w:val="00AD257A"/>
    <w:rsid w:val="00AD4B7E"/>
    <w:rsid w:val="00AD54D7"/>
    <w:rsid w:val="00AD6283"/>
    <w:rsid w:val="00AD7790"/>
    <w:rsid w:val="00AE2549"/>
    <w:rsid w:val="00AE6CF9"/>
    <w:rsid w:val="00AE748C"/>
    <w:rsid w:val="00AF3367"/>
    <w:rsid w:val="00AF3FA9"/>
    <w:rsid w:val="00B046A7"/>
    <w:rsid w:val="00B04ABA"/>
    <w:rsid w:val="00B208F4"/>
    <w:rsid w:val="00B223EE"/>
    <w:rsid w:val="00B3665B"/>
    <w:rsid w:val="00B476D8"/>
    <w:rsid w:val="00B5159E"/>
    <w:rsid w:val="00B52DB6"/>
    <w:rsid w:val="00B576BE"/>
    <w:rsid w:val="00B72257"/>
    <w:rsid w:val="00B74590"/>
    <w:rsid w:val="00B75A46"/>
    <w:rsid w:val="00B94916"/>
    <w:rsid w:val="00B95656"/>
    <w:rsid w:val="00BC6BD9"/>
    <w:rsid w:val="00BD254C"/>
    <w:rsid w:val="00BE1CD4"/>
    <w:rsid w:val="00BE3DFD"/>
    <w:rsid w:val="00BE6A91"/>
    <w:rsid w:val="00BF0269"/>
    <w:rsid w:val="00BF3416"/>
    <w:rsid w:val="00C009CB"/>
    <w:rsid w:val="00C01C23"/>
    <w:rsid w:val="00C10FBA"/>
    <w:rsid w:val="00C15297"/>
    <w:rsid w:val="00C15D1C"/>
    <w:rsid w:val="00C2636A"/>
    <w:rsid w:val="00C27CE2"/>
    <w:rsid w:val="00C31CBE"/>
    <w:rsid w:val="00C326A2"/>
    <w:rsid w:val="00C333B8"/>
    <w:rsid w:val="00C345BA"/>
    <w:rsid w:val="00C34DDE"/>
    <w:rsid w:val="00C35AD4"/>
    <w:rsid w:val="00C50308"/>
    <w:rsid w:val="00C541A3"/>
    <w:rsid w:val="00C60D61"/>
    <w:rsid w:val="00C70FAB"/>
    <w:rsid w:val="00C75D99"/>
    <w:rsid w:val="00C91047"/>
    <w:rsid w:val="00C91B8D"/>
    <w:rsid w:val="00C92A28"/>
    <w:rsid w:val="00CA0B20"/>
    <w:rsid w:val="00CA1DE9"/>
    <w:rsid w:val="00CA246A"/>
    <w:rsid w:val="00CA3C0F"/>
    <w:rsid w:val="00CB740D"/>
    <w:rsid w:val="00CC381D"/>
    <w:rsid w:val="00CC4AB4"/>
    <w:rsid w:val="00CD4A9B"/>
    <w:rsid w:val="00CE0BC3"/>
    <w:rsid w:val="00CE29E0"/>
    <w:rsid w:val="00CE3444"/>
    <w:rsid w:val="00CF4651"/>
    <w:rsid w:val="00CF4A76"/>
    <w:rsid w:val="00CF5AE7"/>
    <w:rsid w:val="00D0117C"/>
    <w:rsid w:val="00D03BE1"/>
    <w:rsid w:val="00D06E5C"/>
    <w:rsid w:val="00D071FC"/>
    <w:rsid w:val="00D12103"/>
    <w:rsid w:val="00D157A7"/>
    <w:rsid w:val="00D26138"/>
    <w:rsid w:val="00D26726"/>
    <w:rsid w:val="00D27571"/>
    <w:rsid w:val="00D300C0"/>
    <w:rsid w:val="00D35351"/>
    <w:rsid w:val="00D3645B"/>
    <w:rsid w:val="00D43016"/>
    <w:rsid w:val="00D50EEB"/>
    <w:rsid w:val="00D5563C"/>
    <w:rsid w:val="00D678F4"/>
    <w:rsid w:val="00D710CA"/>
    <w:rsid w:val="00D7425D"/>
    <w:rsid w:val="00D75836"/>
    <w:rsid w:val="00D778A7"/>
    <w:rsid w:val="00D81769"/>
    <w:rsid w:val="00D858CD"/>
    <w:rsid w:val="00D8660A"/>
    <w:rsid w:val="00D969AB"/>
    <w:rsid w:val="00D97FD5"/>
    <w:rsid w:val="00DA0C34"/>
    <w:rsid w:val="00DA18DA"/>
    <w:rsid w:val="00DA4A82"/>
    <w:rsid w:val="00DA56FE"/>
    <w:rsid w:val="00DA6EA5"/>
    <w:rsid w:val="00DB5CA7"/>
    <w:rsid w:val="00DC19AE"/>
    <w:rsid w:val="00DC3EC9"/>
    <w:rsid w:val="00DC74C0"/>
    <w:rsid w:val="00DC796B"/>
    <w:rsid w:val="00DC79DD"/>
    <w:rsid w:val="00DD4FA3"/>
    <w:rsid w:val="00DD6EAC"/>
    <w:rsid w:val="00DD765A"/>
    <w:rsid w:val="00DD767A"/>
    <w:rsid w:val="00DE1D43"/>
    <w:rsid w:val="00DE3B26"/>
    <w:rsid w:val="00DF44DC"/>
    <w:rsid w:val="00DF523B"/>
    <w:rsid w:val="00DF5314"/>
    <w:rsid w:val="00E00CA8"/>
    <w:rsid w:val="00E01EDC"/>
    <w:rsid w:val="00E04F2D"/>
    <w:rsid w:val="00E117B5"/>
    <w:rsid w:val="00E2414C"/>
    <w:rsid w:val="00E30A77"/>
    <w:rsid w:val="00E44489"/>
    <w:rsid w:val="00E5632A"/>
    <w:rsid w:val="00E63124"/>
    <w:rsid w:val="00E64F6C"/>
    <w:rsid w:val="00E67F15"/>
    <w:rsid w:val="00E728A7"/>
    <w:rsid w:val="00E85E71"/>
    <w:rsid w:val="00E86C06"/>
    <w:rsid w:val="00E97070"/>
    <w:rsid w:val="00E975F6"/>
    <w:rsid w:val="00EA5F01"/>
    <w:rsid w:val="00EB32CF"/>
    <w:rsid w:val="00EC717C"/>
    <w:rsid w:val="00EC75CD"/>
    <w:rsid w:val="00EE0FAC"/>
    <w:rsid w:val="00EE4CDF"/>
    <w:rsid w:val="00EF5047"/>
    <w:rsid w:val="00EF7234"/>
    <w:rsid w:val="00F17EA7"/>
    <w:rsid w:val="00F24303"/>
    <w:rsid w:val="00F3147D"/>
    <w:rsid w:val="00F328AE"/>
    <w:rsid w:val="00F609C7"/>
    <w:rsid w:val="00F86FE2"/>
    <w:rsid w:val="00FA2325"/>
    <w:rsid w:val="00FA4782"/>
    <w:rsid w:val="00FB5338"/>
    <w:rsid w:val="00FB66C0"/>
    <w:rsid w:val="00FC6C62"/>
    <w:rsid w:val="00FD0447"/>
    <w:rsid w:val="00FD5B2C"/>
    <w:rsid w:val="00FE1A9A"/>
    <w:rsid w:val="00FE258B"/>
    <w:rsid w:val="00FE6BDF"/>
    <w:rsid w:val="00FE7196"/>
    <w:rsid w:val="00FE7360"/>
    <w:rsid w:val="00FF68B2"/>
    <w:rsid w:val="00FF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E761D"/>
  <w15:chartTrackingRefBased/>
  <w15:docId w15:val="{FC80BE3D-45BF-469D-9073-0DEC9F00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1D9"/>
    <w:pPr>
      <w:spacing w:before="200" w:after="0"/>
      <w:jc w:val="both"/>
    </w:pPr>
    <w:rPr>
      <w:rFonts w:eastAsiaTheme="minorEastAsia"/>
      <w:bCs/>
      <w:iCs/>
    </w:rPr>
  </w:style>
  <w:style w:type="paragraph" w:styleId="Heading1">
    <w:name w:val="heading 1"/>
    <w:basedOn w:val="Normal"/>
    <w:next w:val="Normal"/>
    <w:link w:val="Heading1Char"/>
    <w:uiPriority w:val="9"/>
    <w:qFormat/>
    <w:rsid w:val="000721D9"/>
    <w:pPr>
      <w:keepNext/>
      <w:keepLines/>
      <w:spacing w:before="480"/>
      <w:outlineLvl w:val="0"/>
    </w:pPr>
    <w:rPr>
      <w:rFonts w:asciiTheme="majorHAnsi" w:eastAsiaTheme="majorEastAsia" w:hAnsiTheme="majorHAnsi" w:cstheme="majorBidi"/>
      <w:b/>
      <w:iCs w:val="0"/>
      <w:color w:val="009CCE"/>
      <w:sz w:val="28"/>
      <w:szCs w:val="28"/>
    </w:rPr>
  </w:style>
  <w:style w:type="paragraph" w:styleId="Heading2">
    <w:name w:val="heading 2"/>
    <w:basedOn w:val="Normal"/>
    <w:next w:val="Normal"/>
    <w:link w:val="Heading2Char"/>
    <w:uiPriority w:val="9"/>
    <w:unhideWhenUsed/>
    <w:qFormat/>
    <w:rsid w:val="000721D9"/>
    <w:pPr>
      <w:keepNext/>
      <w:keepLines/>
      <w:outlineLvl w:val="1"/>
    </w:pPr>
    <w:rPr>
      <w:rFonts w:asciiTheme="majorHAnsi" w:eastAsiaTheme="majorEastAsia" w:hAnsiTheme="majorHAnsi" w:cstheme="majorBidi"/>
      <w:b/>
      <w:iCs w:val="0"/>
      <w:color w:val="4BACC6" w:themeColor="accent5"/>
      <w:sz w:val="26"/>
      <w:szCs w:val="26"/>
    </w:rPr>
  </w:style>
  <w:style w:type="paragraph" w:styleId="Heading3">
    <w:name w:val="heading 3"/>
    <w:basedOn w:val="Normal"/>
    <w:next w:val="Normal"/>
    <w:link w:val="Heading3Char"/>
    <w:uiPriority w:val="9"/>
    <w:unhideWhenUsed/>
    <w:qFormat/>
    <w:rsid w:val="000721D9"/>
    <w:pPr>
      <w:keepNext/>
      <w:keepLines/>
      <w:outlineLvl w:val="2"/>
    </w:pPr>
    <w:rPr>
      <w:rFonts w:asciiTheme="majorHAnsi" w:eastAsiaTheme="majorEastAsia" w:hAnsiTheme="majorHAnsi" w:cstheme="majorBidi"/>
      <w:b/>
      <w:iCs w:val="0"/>
      <w:color w:val="282626"/>
      <w14:textFill>
        <w14:solidFill>
          <w14:srgbClr w14:val="282626">
            <w14:alpha w14:val="20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1D9"/>
    <w:rPr>
      <w:rFonts w:asciiTheme="majorHAnsi" w:eastAsiaTheme="majorEastAsia" w:hAnsiTheme="majorHAnsi" w:cstheme="majorBidi"/>
      <w:b/>
      <w:bCs/>
      <w:color w:val="009CCE"/>
      <w:sz w:val="28"/>
      <w:szCs w:val="28"/>
    </w:rPr>
  </w:style>
  <w:style w:type="character" w:customStyle="1" w:styleId="Heading2Char">
    <w:name w:val="Heading 2 Char"/>
    <w:basedOn w:val="DefaultParagraphFont"/>
    <w:link w:val="Heading2"/>
    <w:uiPriority w:val="9"/>
    <w:rsid w:val="000721D9"/>
    <w:rPr>
      <w:rFonts w:asciiTheme="majorHAnsi" w:eastAsiaTheme="majorEastAsia" w:hAnsiTheme="majorHAnsi" w:cstheme="majorBidi"/>
      <w:b/>
      <w:bCs/>
      <w:color w:val="4BACC6" w:themeColor="accent5"/>
      <w:sz w:val="26"/>
      <w:szCs w:val="26"/>
    </w:rPr>
  </w:style>
  <w:style w:type="character" w:customStyle="1" w:styleId="Heading3Char">
    <w:name w:val="Heading 3 Char"/>
    <w:basedOn w:val="DefaultParagraphFont"/>
    <w:link w:val="Heading3"/>
    <w:uiPriority w:val="9"/>
    <w:rsid w:val="000721D9"/>
    <w:rPr>
      <w:rFonts w:asciiTheme="majorHAnsi" w:eastAsiaTheme="majorEastAsia" w:hAnsiTheme="majorHAnsi" w:cstheme="majorBidi"/>
      <w:b/>
      <w:bCs/>
      <w:color w:val="282626"/>
      <w14:textFill>
        <w14:solidFill>
          <w14:srgbClr w14:val="282626">
            <w14:alpha w14:val="20000"/>
          </w14:srgbClr>
        </w14:solidFill>
      </w14:textFill>
    </w:rPr>
  </w:style>
  <w:style w:type="paragraph" w:styleId="Caption">
    <w:name w:val="caption"/>
    <w:basedOn w:val="Normal"/>
    <w:next w:val="Normal"/>
    <w:uiPriority w:val="35"/>
    <w:unhideWhenUsed/>
    <w:qFormat/>
    <w:rsid w:val="000721D9"/>
    <w:pPr>
      <w:keepNext/>
      <w:jc w:val="center"/>
    </w:pPr>
    <w:rPr>
      <w:b/>
    </w:rPr>
  </w:style>
  <w:style w:type="paragraph" w:styleId="Title">
    <w:name w:val="Title"/>
    <w:basedOn w:val="Normal"/>
    <w:next w:val="Normal"/>
    <w:link w:val="TitleChar"/>
    <w:uiPriority w:val="10"/>
    <w:qFormat/>
    <w:rsid w:val="000721D9"/>
    <w:pPr>
      <w:pBdr>
        <w:bottom w:val="single" w:sz="8" w:space="4" w:color="009CCE"/>
      </w:pBdr>
      <w:spacing w:after="300" w:line="240" w:lineRule="auto"/>
      <w:contextualSpacing/>
      <w:jc w:val="left"/>
    </w:pPr>
    <w:rPr>
      <w:rFonts w:asciiTheme="majorHAnsi" w:eastAsiaTheme="majorEastAsia" w:hAnsiTheme="majorHAnsi" w:cstheme="majorBidi"/>
      <w:color w:val="009CCE"/>
      <w:spacing w:val="5"/>
      <w:kern w:val="28"/>
      <w:sz w:val="52"/>
      <w:szCs w:val="52"/>
    </w:rPr>
  </w:style>
  <w:style w:type="character" w:customStyle="1" w:styleId="TitleChar">
    <w:name w:val="Title Char"/>
    <w:basedOn w:val="DefaultParagraphFont"/>
    <w:link w:val="Title"/>
    <w:uiPriority w:val="10"/>
    <w:rsid w:val="000721D9"/>
    <w:rPr>
      <w:rFonts w:asciiTheme="majorHAnsi" w:eastAsiaTheme="majorEastAsia" w:hAnsiTheme="majorHAnsi" w:cstheme="majorBidi"/>
      <w:bCs/>
      <w:iCs/>
      <w:color w:val="009CCE"/>
      <w:spacing w:val="5"/>
      <w:kern w:val="28"/>
      <w:sz w:val="52"/>
      <w:szCs w:val="52"/>
    </w:rPr>
  </w:style>
  <w:style w:type="paragraph" w:styleId="ListParagraph">
    <w:name w:val="List Paragraph"/>
    <w:basedOn w:val="Normal"/>
    <w:link w:val="ListParagraphChar"/>
    <w:uiPriority w:val="34"/>
    <w:qFormat/>
    <w:rsid w:val="000721D9"/>
    <w:pPr>
      <w:ind w:left="720"/>
      <w:contextualSpacing/>
    </w:pPr>
  </w:style>
  <w:style w:type="character" w:styleId="CommentReference">
    <w:name w:val="annotation reference"/>
    <w:basedOn w:val="DefaultParagraphFont"/>
    <w:uiPriority w:val="99"/>
    <w:semiHidden/>
    <w:unhideWhenUsed/>
    <w:rsid w:val="00E85E71"/>
    <w:rPr>
      <w:sz w:val="16"/>
      <w:szCs w:val="16"/>
    </w:rPr>
  </w:style>
  <w:style w:type="paragraph" w:styleId="CommentText">
    <w:name w:val="annotation text"/>
    <w:basedOn w:val="Normal"/>
    <w:link w:val="CommentTextChar"/>
    <w:uiPriority w:val="99"/>
    <w:unhideWhenUsed/>
    <w:rsid w:val="00E85E71"/>
    <w:pPr>
      <w:spacing w:line="240" w:lineRule="auto"/>
    </w:pPr>
    <w:rPr>
      <w:sz w:val="20"/>
      <w:szCs w:val="20"/>
    </w:rPr>
  </w:style>
  <w:style w:type="character" w:customStyle="1" w:styleId="CommentTextChar">
    <w:name w:val="Comment Text Char"/>
    <w:basedOn w:val="DefaultParagraphFont"/>
    <w:link w:val="CommentText"/>
    <w:uiPriority w:val="99"/>
    <w:rsid w:val="00E85E71"/>
    <w:rPr>
      <w:rFonts w:eastAsiaTheme="minorEastAsia"/>
      <w:bCs/>
      <w:iCs/>
      <w:sz w:val="20"/>
      <w:szCs w:val="20"/>
    </w:rPr>
  </w:style>
  <w:style w:type="paragraph" w:styleId="CommentSubject">
    <w:name w:val="annotation subject"/>
    <w:basedOn w:val="CommentText"/>
    <w:next w:val="CommentText"/>
    <w:link w:val="CommentSubjectChar"/>
    <w:uiPriority w:val="99"/>
    <w:semiHidden/>
    <w:unhideWhenUsed/>
    <w:rsid w:val="00E85E71"/>
    <w:rPr>
      <w:b/>
    </w:rPr>
  </w:style>
  <w:style w:type="character" w:customStyle="1" w:styleId="CommentSubjectChar">
    <w:name w:val="Comment Subject Char"/>
    <w:basedOn w:val="CommentTextChar"/>
    <w:link w:val="CommentSubject"/>
    <w:uiPriority w:val="99"/>
    <w:semiHidden/>
    <w:rsid w:val="00E85E71"/>
    <w:rPr>
      <w:rFonts w:eastAsiaTheme="minorEastAsia"/>
      <w:b/>
      <w:bCs/>
      <w:iCs/>
      <w:sz w:val="20"/>
      <w:szCs w:val="20"/>
    </w:rPr>
  </w:style>
  <w:style w:type="paragraph" w:styleId="BalloonText">
    <w:name w:val="Balloon Text"/>
    <w:basedOn w:val="Normal"/>
    <w:link w:val="BalloonTextChar"/>
    <w:uiPriority w:val="99"/>
    <w:semiHidden/>
    <w:unhideWhenUsed/>
    <w:rsid w:val="00E85E7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E71"/>
    <w:rPr>
      <w:rFonts w:ascii="Segoe UI" w:eastAsiaTheme="minorEastAsia" w:hAnsi="Segoe UI" w:cs="Segoe UI"/>
      <w:bCs/>
      <w:iCs/>
      <w:sz w:val="18"/>
      <w:szCs w:val="18"/>
    </w:rPr>
  </w:style>
  <w:style w:type="table" w:styleId="TableGrid">
    <w:name w:val="Table Grid"/>
    <w:basedOn w:val="TableNormal"/>
    <w:uiPriority w:val="39"/>
    <w:rsid w:val="00D3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24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B124A"/>
    <w:rPr>
      <w:rFonts w:eastAsiaTheme="minorEastAsia"/>
      <w:bCs/>
      <w:iCs/>
    </w:rPr>
  </w:style>
  <w:style w:type="paragraph" w:styleId="Footer">
    <w:name w:val="footer"/>
    <w:basedOn w:val="Normal"/>
    <w:link w:val="FooterChar"/>
    <w:uiPriority w:val="99"/>
    <w:unhideWhenUsed/>
    <w:rsid w:val="006B124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B124A"/>
    <w:rPr>
      <w:rFonts w:eastAsiaTheme="minorEastAsia"/>
      <w:bCs/>
      <w:iCs/>
    </w:rPr>
  </w:style>
  <w:style w:type="paragraph" w:styleId="NoSpacing">
    <w:name w:val="No Spacing"/>
    <w:basedOn w:val="Normal"/>
    <w:uiPriority w:val="1"/>
    <w:rsid w:val="006B124A"/>
    <w:pPr>
      <w:spacing w:before="120" w:after="120" w:line="240" w:lineRule="auto"/>
      <w:jc w:val="left"/>
    </w:pPr>
    <w:rPr>
      <w:rFonts w:ascii="Calibri" w:eastAsia="Times New Roman" w:hAnsi="Calibri" w:cs="Times New Roman"/>
      <w:bCs w:val="0"/>
      <w:iCs w:val="0"/>
    </w:rPr>
  </w:style>
  <w:style w:type="table" w:styleId="GridTable4-Accent5">
    <w:name w:val="Grid Table 4 Accent 5"/>
    <w:basedOn w:val="TableNormal"/>
    <w:uiPriority w:val="49"/>
    <w:rsid w:val="00F3147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unhideWhenUsed/>
    <w:rsid w:val="004869D7"/>
    <w:pPr>
      <w:spacing w:before="0" w:line="240" w:lineRule="auto"/>
    </w:pPr>
    <w:rPr>
      <w:sz w:val="20"/>
      <w:szCs w:val="20"/>
    </w:rPr>
  </w:style>
  <w:style w:type="character" w:customStyle="1" w:styleId="FootnoteTextChar">
    <w:name w:val="Footnote Text Char"/>
    <w:basedOn w:val="DefaultParagraphFont"/>
    <w:link w:val="FootnoteText"/>
    <w:uiPriority w:val="99"/>
    <w:rsid w:val="004869D7"/>
    <w:rPr>
      <w:rFonts w:eastAsiaTheme="minorEastAsia"/>
      <w:bCs/>
      <w:iCs/>
      <w:sz w:val="20"/>
      <w:szCs w:val="20"/>
    </w:rPr>
  </w:style>
  <w:style w:type="character" w:styleId="FootnoteReference">
    <w:name w:val="footnote reference"/>
    <w:basedOn w:val="DefaultParagraphFont"/>
    <w:uiPriority w:val="99"/>
    <w:unhideWhenUsed/>
    <w:rsid w:val="004869D7"/>
    <w:rPr>
      <w:vertAlign w:val="superscript"/>
    </w:rPr>
  </w:style>
  <w:style w:type="character" w:styleId="Hyperlink">
    <w:name w:val="Hyperlink"/>
    <w:basedOn w:val="DefaultParagraphFont"/>
    <w:uiPriority w:val="99"/>
    <w:unhideWhenUsed/>
    <w:rsid w:val="00FE6BDF"/>
    <w:rPr>
      <w:color w:val="0000FF" w:themeColor="hyperlink"/>
      <w:u w:val="single"/>
    </w:rPr>
  </w:style>
  <w:style w:type="paragraph" w:styleId="Subtitle">
    <w:name w:val="Subtitle"/>
    <w:basedOn w:val="Normal"/>
    <w:next w:val="Normal"/>
    <w:link w:val="SubtitleChar"/>
    <w:rsid w:val="00250042"/>
    <w:pPr>
      <w:keepNext/>
      <w:keepLines/>
      <w:spacing w:before="360" w:after="80"/>
    </w:pPr>
    <w:rPr>
      <w:rFonts w:eastAsia="Georgia" w:cs="Georgia"/>
      <w:i/>
      <w:color w:val="666666"/>
      <w:szCs w:val="48"/>
    </w:rPr>
  </w:style>
  <w:style w:type="character" w:customStyle="1" w:styleId="SubtitleChar">
    <w:name w:val="Subtitle Char"/>
    <w:basedOn w:val="DefaultParagraphFont"/>
    <w:link w:val="Subtitle"/>
    <w:rsid w:val="00250042"/>
    <w:rPr>
      <w:rFonts w:eastAsia="Georgia" w:cs="Georgia"/>
      <w:bCs/>
      <w:i/>
      <w:iCs/>
      <w:color w:val="666666"/>
      <w:szCs w:val="48"/>
    </w:rPr>
  </w:style>
  <w:style w:type="table" w:styleId="GridTable5Dark-Accent5">
    <w:name w:val="Grid Table 5 Dark Accent 5"/>
    <w:basedOn w:val="TableNormal"/>
    <w:uiPriority w:val="50"/>
    <w:rsid w:val="007D3D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ListTable4-Accent5">
    <w:name w:val="List Table 4 Accent 5"/>
    <w:basedOn w:val="TableNormal"/>
    <w:uiPriority w:val="49"/>
    <w:rsid w:val="007D3DE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4709800485162721572msolistparagraph">
    <w:name w:val="m_-4709800485162721572msolistparagraph"/>
    <w:basedOn w:val="Normal"/>
    <w:rsid w:val="00256E1A"/>
    <w:pPr>
      <w:spacing w:before="100" w:beforeAutospacing="1" w:after="100" w:afterAutospacing="1" w:line="240" w:lineRule="auto"/>
      <w:jc w:val="left"/>
    </w:pPr>
    <w:rPr>
      <w:rFonts w:ascii="Times New Roman" w:eastAsia="Times New Roman" w:hAnsi="Times New Roman" w:cs="Times New Roman"/>
      <w:bCs w:val="0"/>
      <w:iCs w:val="0"/>
      <w:sz w:val="24"/>
      <w:szCs w:val="24"/>
    </w:rPr>
  </w:style>
  <w:style w:type="character" w:customStyle="1" w:styleId="aqj">
    <w:name w:val="aqj"/>
    <w:basedOn w:val="DefaultParagraphFont"/>
    <w:rsid w:val="00256E1A"/>
  </w:style>
  <w:style w:type="paragraph" w:customStyle="1" w:styleId="Default">
    <w:name w:val="Default"/>
    <w:rsid w:val="00924AD3"/>
    <w:pPr>
      <w:autoSpaceDE w:val="0"/>
      <w:autoSpaceDN w:val="0"/>
      <w:adjustRightInd w:val="0"/>
      <w:spacing w:after="0" w:line="240" w:lineRule="auto"/>
    </w:pPr>
    <w:rPr>
      <w:rFonts w:ascii="Calibri" w:hAnsi="Calibri" w:cs="Calibri"/>
      <w:color w:val="000000"/>
      <w:sz w:val="24"/>
      <w:szCs w:val="24"/>
    </w:rPr>
  </w:style>
  <w:style w:type="table" w:customStyle="1" w:styleId="GridTable4-Accent51">
    <w:name w:val="Grid Table 4 - Accent 51"/>
    <w:basedOn w:val="TableNormal"/>
    <w:uiPriority w:val="49"/>
    <w:rsid w:val="0050758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semiHidden/>
    <w:unhideWhenUsed/>
    <w:rsid w:val="00260A67"/>
    <w:pPr>
      <w:spacing w:before="100" w:beforeAutospacing="1" w:after="100" w:afterAutospacing="1" w:line="240" w:lineRule="auto"/>
      <w:jc w:val="left"/>
    </w:pPr>
    <w:rPr>
      <w:rFonts w:ascii="Times New Roman" w:eastAsia="Times New Roman" w:hAnsi="Times New Roman" w:cs="Times New Roman"/>
      <w:bCs w:val="0"/>
      <w:iCs w:val="0"/>
      <w:sz w:val="24"/>
      <w:szCs w:val="24"/>
    </w:rPr>
  </w:style>
  <w:style w:type="character" w:customStyle="1" w:styleId="ListParagraphChar">
    <w:name w:val="List Paragraph Char"/>
    <w:link w:val="ListParagraph"/>
    <w:uiPriority w:val="34"/>
    <w:locked/>
    <w:rsid w:val="00801F86"/>
    <w:rPr>
      <w:rFonts w:eastAsiaTheme="minorEastAsia"/>
      <w:bCs/>
      <w:iCs/>
    </w:rPr>
  </w:style>
  <w:style w:type="table" w:styleId="ListTable3-Accent5">
    <w:name w:val="List Table 3 Accent 5"/>
    <w:basedOn w:val="TableNormal"/>
    <w:uiPriority w:val="48"/>
    <w:rsid w:val="00801F8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97104">
      <w:bodyDiv w:val="1"/>
      <w:marLeft w:val="0"/>
      <w:marRight w:val="0"/>
      <w:marTop w:val="0"/>
      <w:marBottom w:val="0"/>
      <w:divBdr>
        <w:top w:val="none" w:sz="0" w:space="0" w:color="auto"/>
        <w:left w:val="none" w:sz="0" w:space="0" w:color="auto"/>
        <w:bottom w:val="none" w:sz="0" w:space="0" w:color="auto"/>
        <w:right w:val="none" w:sz="0" w:space="0" w:color="auto"/>
      </w:divBdr>
    </w:div>
    <w:div w:id="208155566">
      <w:bodyDiv w:val="1"/>
      <w:marLeft w:val="0"/>
      <w:marRight w:val="0"/>
      <w:marTop w:val="0"/>
      <w:marBottom w:val="0"/>
      <w:divBdr>
        <w:top w:val="none" w:sz="0" w:space="0" w:color="auto"/>
        <w:left w:val="none" w:sz="0" w:space="0" w:color="auto"/>
        <w:bottom w:val="none" w:sz="0" w:space="0" w:color="auto"/>
        <w:right w:val="none" w:sz="0" w:space="0" w:color="auto"/>
      </w:divBdr>
    </w:div>
    <w:div w:id="217086651">
      <w:bodyDiv w:val="1"/>
      <w:marLeft w:val="0"/>
      <w:marRight w:val="0"/>
      <w:marTop w:val="0"/>
      <w:marBottom w:val="0"/>
      <w:divBdr>
        <w:top w:val="none" w:sz="0" w:space="0" w:color="auto"/>
        <w:left w:val="none" w:sz="0" w:space="0" w:color="auto"/>
        <w:bottom w:val="none" w:sz="0" w:space="0" w:color="auto"/>
        <w:right w:val="none" w:sz="0" w:space="0" w:color="auto"/>
      </w:divBdr>
    </w:div>
    <w:div w:id="229653050">
      <w:bodyDiv w:val="1"/>
      <w:marLeft w:val="0"/>
      <w:marRight w:val="0"/>
      <w:marTop w:val="0"/>
      <w:marBottom w:val="0"/>
      <w:divBdr>
        <w:top w:val="none" w:sz="0" w:space="0" w:color="auto"/>
        <w:left w:val="none" w:sz="0" w:space="0" w:color="auto"/>
        <w:bottom w:val="none" w:sz="0" w:space="0" w:color="auto"/>
        <w:right w:val="none" w:sz="0" w:space="0" w:color="auto"/>
      </w:divBdr>
    </w:div>
    <w:div w:id="543713025">
      <w:bodyDiv w:val="1"/>
      <w:marLeft w:val="0"/>
      <w:marRight w:val="0"/>
      <w:marTop w:val="0"/>
      <w:marBottom w:val="0"/>
      <w:divBdr>
        <w:top w:val="none" w:sz="0" w:space="0" w:color="auto"/>
        <w:left w:val="none" w:sz="0" w:space="0" w:color="auto"/>
        <w:bottom w:val="none" w:sz="0" w:space="0" w:color="auto"/>
        <w:right w:val="none" w:sz="0" w:space="0" w:color="auto"/>
      </w:divBdr>
    </w:div>
    <w:div w:id="591931164">
      <w:bodyDiv w:val="1"/>
      <w:marLeft w:val="0"/>
      <w:marRight w:val="0"/>
      <w:marTop w:val="0"/>
      <w:marBottom w:val="0"/>
      <w:divBdr>
        <w:top w:val="none" w:sz="0" w:space="0" w:color="auto"/>
        <w:left w:val="none" w:sz="0" w:space="0" w:color="auto"/>
        <w:bottom w:val="none" w:sz="0" w:space="0" w:color="auto"/>
        <w:right w:val="none" w:sz="0" w:space="0" w:color="auto"/>
      </w:divBdr>
    </w:div>
    <w:div w:id="629551635">
      <w:bodyDiv w:val="1"/>
      <w:marLeft w:val="0"/>
      <w:marRight w:val="0"/>
      <w:marTop w:val="0"/>
      <w:marBottom w:val="0"/>
      <w:divBdr>
        <w:top w:val="none" w:sz="0" w:space="0" w:color="auto"/>
        <w:left w:val="none" w:sz="0" w:space="0" w:color="auto"/>
        <w:bottom w:val="none" w:sz="0" w:space="0" w:color="auto"/>
        <w:right w:val="none" w:sz="0" w:space="0" w:color="auto"/>
      </w:divBdr>
    </w:div>
    <w:div w:id="703991738">
      <w:bodyDiv w:val="1"/>
      <w:marLeft w:val="0"/>
      <w:marRight w:val="0"/>
      <w:marTop w:val="0"/>
      <w:marBottom w:val="0"/>
      <w:divBdr>
        <w:top w:val="none" w:sz="0" w:space="0" w:color="auto"/>
        <w:left w:val="none" w:sz="0" w:space="0" w:color="auto"/>
        <w:bottom w:val="none" w:sz="0" w:space="0" w:color="auto"/>
        <w:right w:val="none" w:sz="0" w:space="0" w:color="auto"/>
      </w:divBdr>
    </w:div>
    <w:div w:id="862328963">
      <w:bodyDiv w:val="1"/>
      <w:marLeft w:val="0"/>
      <w:marRight w:val="0"/>
      <w:marTop w:val="0"/>
      <w:marBottom w:val="0"/>
      <w:divBdr>
        <w:top w:val="none" w:sz="0" w:space="0" w:color="auto"/>
        <w:left w:val="none" w:sz="0" w:space="0" w:color="auto"/>
        <w:bottom w:val="none" w:sz="0" w:space="0" w:color="auto"/>
        <w:right w:val="none" w:sz="0" w:space="0" w:color="auto"/>
      </w:divBdr>
    </w:div>
    <w:div w:id="887566289">
      <w:bodyDiv w:val="1"/>
      <w:marLeft w:val="0"/>
      <w:marRight w:val="0"/>
      <w:marTop w:val="0"/>
      <w:marBottom w:val="0"/>
      <w:divBdr>
        <w:top w:val="none" w:sz="0" w:space="0" w:color="auto"/>
        <w:left w:val="none" w:sz="0" w:space="0" w:color="auto"/>
        <w:bottom w:val="none" w:sz="0" w:space="0" w:color="auto"/>
        <w:right w:val="none" w:sz="0" w:space="0" w:color="auto"/>
      </w:divBdr>
    </w:div>
    <w:div w:id="978418967">
      <w:bodyDiv w:val="1"/>
      <w:marLeft w:val="0"/>
      <w:marRight w:val="0"/>
      <w:marTop w:val="0"/>
      <w:marBottom w:val="0"/>
      <w:divBdr>
        <w:top w:val="none" w:sz="0" w:space="0" w:color="auto"/>
        <w:left w:val="none" w:sz="0" w:space="0" w:color="auto"/>
        <w:bottom w:val="none" w:sz="0" w:space="0" w:color="auto"/>
        <w:right w:val="none" w:sz="0" w:space="0" w:color="auto"/>
      </w:divBdr>
    </w:div>
    <w:div w:id="1275745241">
      <w:bodyDiv w:val="1"/>
      <w:marLeft w:val="0"/>
      <w:marRight w:val="0"/>
      <w:marTop w:val="0"/>
      <w:marBottom w:val="0"/>
      <w:divBdr>
        <w:top w:val="none" w:sz="0" w:space="0" w:color="auto"/>
        <w:left w:val="none" w:sz="0" w:space="0" w:color="auto"/>
        <w:bottom w:val="none" w:sz="0" w:space="0" w:color="auto"/>
        <w:right w:val="none" w:sz="0" w:space="0" w:color="auto"/>
      </w:divBdr>
    </w:div>
    <w:div w:id="1363246554">
      <w:bodyDiv w:val="1"/>
      <w:marLeft w:val="0"/>
      <w:marRight w:val="0"/>
      <w:marTop w:val="0"/>
      <w:marBottom w:val="0"/>
      <w:divBdr>
        <w:top w:val="none" w:sz="0" w:space="0" w:color="auto"/>
        <w:left w:val="none" w:sz="0" w:space="0" w:color="auto"/>
        <w:bottom w:val="none" w:sz="0" w:space="0" w:color="auto"/>
        <w:right w:val="none" w:sz="0" w:space="0" w:color="auto"/>
      </w:divBdr>
    </w:div>
    <w:div w:id="1392539099">
      <w:bodyDiv w:val="1"/>
      <w:marLeft w:val="0"/>
      <w:marRight w:val="0"/>
      <w:marTop w:val="0"/>
      <w:marBottom w:val="0"/>
      <w:divBdr>
        <w:top w:val="none" w:sz="0" w:space="0" w:color="auto"/>
        <w:left w:val="none" w:sz="0" w:space="0" w:color="auto"/>
        <w:bottom w:val="none" w:sz="0" w:space="0" w:color="auto"/>
        <w:right w:val="none" w:sz="0" w:space="0" w:color="auto"/>
      </w:divBdr>
    </w:div>
    <w:div w:id="1409693994">
      <w:bodyDiv w:val="1"/>
      <w:marLeft w:val="0"/>
      <w:marRight w:val="0"/>
      <w:marTop w:val="0"/>
      <w:marBottom w:val="0"/>
      <w:divBdr>
        <w:top w:val="none" w:sz="0" w:space="0" w:color="auto"/>
        <w:left w:val="none" w:sz="0" w:space="0" w:color="auto"/>
        <w:bottom w:val="none" w:sz="0" w:space="0" w:color="auto"/>
        <w:right w:val="none" w:sz="0" w:space="0" w:color="auto"/>
      </w:divBdr>
    </w:div>
    <w:div w:id="1418939108">
      <w:bodyDiv w:val="1"/>
      <w:marLeft w:val="0"/>
      <w:marRight w:val="0"/>
      <w:marTop w:val="0"/>
      <w:marBottom w:val="0"/>
      <w:divBdr>
        <w:top w:val="none" w:sz="0" w:space="0" w:color="auto"/>
        <w:left w:val="none" w:sz="0" w:space="0" w:color="auto"/>
        <w:bottom w:val="none" w:sz="0" w:space="0" w:color="auto"/>
        <w:right w:val="none" w:sz="0" w:space="0" w:color="auto"/>
      </w:divBdr>
    </w:div>
    <w:div w:id="1514564317">
      <w:bodyDiv w:val="1"/>
      <w:marLeft w:val="0"/>
      <w:marRight w:val="0"/>
      <w:marTop w:val="0"/>
      <w:marBottom w:val="0"/>
      <w:divBdr>
        <w:top w:val="none" w:sz="0" w:space="0" w:color="auto"/>
        <w:left w:val="none" w:sz="0" w:space="0" w:color="auto"/>
        <w:bottom w:val="none" w:sz="0" w:space="0" w:color="auto"/>
        <w:right w:val="none" w:sz="0" w:space="0" w:color="auto"/>
      </w:divBdr>
    </w:div>
    <w:div w:id="1548640337">
      <w:bodyDiv w:val="1"/>
      <w:marLeft w:val="0"/>
      <w:marRight w:val="0"/>
      <w:marTop w:val="0"/>
      <w:marBottom w:val="0"/>
      <w:divBdr>
        <w:top w:val="none" w:sz="0" w:space="0" w:color="auto"/>
        <w:left w:val="none" w:sz="0" w:space="0" w:color="auto"/>
        <w:bottom w:val="none" w:sz="0" w:space="0" w:color="auto"/>
        <w:right w:val="none" w:sz="0" w:space="0" w:color="auto"/>
      </w:divBdr>
    </w:div>
    <w:div w:id="1750732268">
      <w:bodyDiv w:val="1"/>
      <w:marLeft w:val="0"/>
      <w:marRight w:val="0"/>
      <w:marTop w:val="0"/>
      <w:marBottom w:val="0"/>
      <w:divBdr>
        <w:top w:val="none" w:sz="0" w:space="0" w:color="auto"/>
        <w:left w:val="none" w:sz="0" w:space="0" w:color="auto"/>
        <w:bottom w:val="none" w:sz="0" w:space="0" w:color="auto"/>
        <w:right w:val="none" w:sz="0" w:space="0" w:color="auto"/>
      </w:divBdr>
    </w:div>
    <w:div w:id="1758744336">
      <w:bodyDiv w:val="1"/>
      <w:marLeft w:val="0"/>
      <w:marRight w:val="0"/>
      <w:marTop w:val="0"/>
      <w:marBottom w:val="0"/>
      <w:divBdr>
        <w:top w:val="none" w:sz="0" w:space="0" w:color="auto"/>
        <w:left w:val="none" w:sz="0" w:space="0" w:color="auto"/>
        <w:bottom w:val="none" w:sz="0" w:space="0" w:color="auto"/>
        <w:right w:val="none" w:sz="0" w:space="0" w:color="auto"/>
      </w:divBdr>
    </w:div>
    <w:div w:id="1856383733">
      <w:bodyDiv w:val="1"/>
      <w:marLeft w:val="0"/>
      <w:marRight w:val="0"/>
      <w:marTop w:val="0"/>
      <w:marBottom w:val="0"/>
      <w:divBdr>
        <w:top w:val="none" w:sz="0" w:space="0" w:color="auto"/>
        <w:left w:val="none" w:sz="0" w:space="0" w:color="auto"/>
        <w:bottom w:val="none" w:sz="0" w:space="0" w:color="auto"/>
        <w:right w:val="none" w:sz="0" w:space="0" w:color="auto"/>
      </w:divBdr>
    </w:div>
    <w:div w:id="19482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C4124-B714-470F-8296-3994C06A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Clubb</dc:creator>
  <cp:keywords/>
  <dc:description/>
  <cp:lastModifiedBy>Ardavan</cp:lastModifiedBy>
  <cp:revision>2</cp:revision>
  <cp:lastPrinted>2019-02-15T19:01:00Z</cp:lastPrinted>
  <dcterms:created xsi:type="dcterms:W3CDTF">2020-05-12T14:47:00Z</dcterms:created>
  <dcterms:modified xsi:type="dcterms:W3CDTF">2020-05-12T14:47:00Z</dcterms:modified>
</cp:coreProperties>
</file>