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8FEF0E" w14:textId="162EA55E" w:rsidR="00743989" w:rsidRDefault="00743989" w:rsidP="001A380C">
      <w:pPr>
        <w:pStyle w:val="Heading2"/>
        <w:numPr>
          <w:ilvl w:val="0"/>
          <w:numId w:val="0"/>
        </w:numPr>
        <w:ind w:left="720" w:hanging="360"/>
      </w:pPr>
      <w:bookmarkStart w:id="0" w:name="_Toc15459754"/>
      <w:r>
        <w:t>Preliminary CEQA Checklist</w:t>
      </w:r>
      <w:bookmarkEnd w:id="0"/>
    </w:p>
    <w:p w14:paraId="4AD2BCC9" w14:textId="77777777" w:rsidR="00743989" w:rsidRPr="002F1B87" w:rsidRDefault="00743989" w:rsidP="00743989">
      <w:pPr>
        <w:ind w:left="360"/>
      </w:pPr>
      <w:r>
        <w:rPr>
          <w:b/>
          <w:i/>
        </w:rPr>
        <w:t>For projects with CEQA clearance already established,</w:t>
      </w:r>
      <w:r>
        <w:t xml:space="preserve"> (adopted (mitigated) negative declaration, certified EIR, exemption, etc.) please include documentation confirming that determination in lieu of the checklist below.</w:t>
      </w:r>
    </w:p>
    <w:p w14:paraId="11A1368D" w14:textId="77777777" w:rsidR="00743989" w:rsidRDefault="00743989" w:rsidP="00743989">
      <w:pPr>
        <w:ind w:left="360"/>
      </w:pPr>
    </w:p>
    <w:p w14:paraId="70B6764B" w14:textId="77777777" w:rsidR="00743989" w:rsidRDefault="00743989" w:rsidP="00743989">
      <w:pPr>
        <w:ind w:left="360"/>
      </w:pPr>
      <w:r>
        <w:rPr>
          <w:b/>
        </w:rPr>
        <w:t xml:space="preserve">The Checklist: </w:t>
      </w:r>
      <w:r>
        <w:t xml:space="preserve">Prior to staff recommendation to the City Council on the NOFA applications, projects must be shown to meet the requirements of the California Environmental Quality Act (CEQA).  </w:t>
      </w:r>
      <w:r w:rsidRPr="000A4E6A">
        <w:t>This checklist provide</w:t>
      </w:r>
      <w:r>
        <w:t>s</w:t>
      </w:r>
      <w:r w:rsidRPr="000A4E6A">
        <w:t xml:space="preserve"> guidance to NOFA applicants as to what documents and studies may be required for a CEQA determination for </w:t>
      </w:r>
      <w:r>
        <w:t>a</w:t>
      </w:r>
      <w:r w:rsidRPr="000A4E6A">
        <w:t xml:space="preserve"> proposed project.  </w:t>
      </w:r>
      <w:r>
        <w:t xml:space="preserve">  </w:t>
      </w:r>
    </w:p>
    <w:p w14:paraId="22E5087E" w14:textId="77777777" w:rsidR="00743989" w:rsidRDefault="00743989" w:rsidP="00743989">
      <w:pPr>
        <w:ind w:left="360"/>
      </w:pPr>
    </w:p>
    <w:p w14:paraId="47839D51" w14:textId="12D46646" w:rsidR="00743989" w:rsidRDefault="00743989" w:rsidP="00743989">
      <w:pPr>
        <w:ind w:left="360"/>
      </w:pPr>
      <w:r>
        <w:t xml:space="preserve">This checklist </w:t>
      </w:r>
      <w:r w:rsidR="007D3376">
        <w:t xml:space="preserve">and other applicable forms may </w:t>
      </w:r>
      <w:r>
        <w:t xml:space="preserve">be downloaded from </w:t>
      </w:r>
      <w:hyperlink r:id="rId8" w:history="1">
        <w:r w:rsidR="00E757EC" w:rsidRPr="003F146B">
          <w:rPr>
            <w:rStyle w:val="Hyperlink"/>
          </w:rPr>
          <w:t>https://www.oaklandca.gov/resources/nofa-opportunities</w:t>
        </w:r>
      </w:hyperlink>
      <w:r w:rsidRPr="00817CAE">
        <w:t>.</w:t>
      </w:r>
    </w:p>
    <w:p w14:paraId="1F371A93" w14:textId="77777777" w:rsidR="00743989" w:rsidRDefault="00743989" w:rsidP="00743989">
      <w:pPr>
        <w:ind w:left="360"/>
      </w:pPr>
      <w:r w:rsidRPr="00817CAE">
        <w:t xml:space="preserve">  </w:t>
      </w:r>
    </w:p>
    <w:p w14:paraId="20032D54" w14:textId="616A7345" w:rsidR="00743989" w:rsidRDefault="00743989" w:rsidP="00743989">
      <w:pPr>
        <w:ind w:left="360"/>
      </w:pPr>
      <w:r>
        <w:t>Most medium to moderately large projects are likely to qualify for an In-Fill Exemption under CEQA Guidelines Section 15183.3 (See Attachment A for Section 15183.3 Criteria</w:t>
      </w:r>
      <w:r w:rsidR="007D3376" w:rsidRPr="007D3376">
        <w:t xml:space="preserve"> </w:t>
      </w:r>
      <w:r w:rsidR="007D3376">
        <w:t>by downloading the Preliminary CEQA Checklist</w:t>
      </w:r>
      <w:r>
        <w:t xml:space="preserve">).  </w:t>
      </w:r>
      <w:r w:rsidRPr="00FB59ED">
        <w:t xml:space="preserve">Where the checklist indicates that studies are needed, the work should be done by a </w:t>
      </w:r>
      <w:r w:rsidRPr="00FB59ED">
        <w:rPr>
          <w:u w:val="single"/>
        </w:rPr>
        <w:t>qualified</w:t>
      </w:r>
      <w:r w:rsidRPr="00FB59ED">
        <w:rPr>
          <w:b/>
        </w:rPr>
        <w:t xml:space="preserve"> </w:t>
      </w:r>
      <w:r w:rsidRPr="00FB59ED">
        <w:t>consultant.</w:t>
      </w:r>
    </w:p>
    <w:p w14:paraId="5AFD9317" w14:textId="12E3F2EC" w:rsidR="00A15054" w:rsidRDefault="00A15054" w:rsidP="00743989">
      <w:pPr>
        <w:ind w:left="360"/>
      </w:pPr>
    </w:p>
    <w:p w14:paraId="4DEB1223" w14:textId="366B246D" w:rsidR="00A15054" w:rsidRPr="00A15054" w:rsidRDefault="00A15054" w:rsidP="00743989">
      <w:pPr>
        <w:ind w:left="360"/>
      </w:pPr>
      <w:r>
        <w:rPr>
          <w:b/>
        </w:rPr>
        <w:t xml:space="preserve">California Senate Bill 35: </w:t>
      </w:r>
      <w:r>
        <w:t xml:space="preserve">For project consideration of a streamlining determination per California Senate Bill 35, please </w:t>
      </w:r>
      <w:r w:rsidR="007D3376">
        <w:t>download the</w:t>
      </w:r>
      <w:r>
        <w:t xml:space="preserve"> </w:t>
      </w:r>
      <w:r w:rsidRPr="00A15054">
        <w:rPr>
          <w:i/>
        </w:rPr>
        <w:t>SB 35 Streamlining Checklist</w:t>
      </w:r>
      <w:r w:rsidR="00803CD2">
        <w:rPr>
          <w:i/>
        </w:rPr>
        <w:t xml:space="preserve"> </w:t>
      </w:r>
      <w:r w:rsidR="00803CD2" w:rsidRPr="009F49CC">
        <w:rPr>
          <w:szCs w:val="24"/>
        </w:rPr>
        <w:t>from the City’s website</w:t>
      </w:r>
      <w:r w:rsidR="00803CD2">
        <w:rPr>
          <w:i/>
          <w:szCs w:val="24"/>
        </w:rPr>
        <w:t>:</w:t>
      </w:r>
      <w:r w:rsidR="00803CD2" w:rsidRPr="00170788">
        <w:t xml:space="preserve"> </w:t>
      </w:r>
      <w:hyperlink r:id="rId9" w:history="1">
        <w:r w:rsidR="00803CD2" w:rsidRPr="003F0A4C">
          <w:rPr>
            <w:rStyle w:val="Hyperlink"/>
            <w:szCs w:val="24"/>
          </w:rPr>
          <w:t>https://www.oaklandca.gov/resources/nofa-opportunities</w:t>
        </w:r>
      </w:hyperlink>
      <w:r>
        <w:t xml:space="preserve">. </w:t>
      </w:r>
    </w:p>
    <w:p w14:paraId="34EEC4A3" w14:textId="77777777" w:rsidR="00743989" w:rsidRDefault="00743989" w:rsidP="00743989"/>
    <w:p w14:paraId="46FA61E1" w14:textId="77777777" w:rsidR="00743989" w:rsidRDefault="00743989" w:rsidP="00743989">
      <w:pPr>
        <w:ind w:left="360"/>
      </w:pPr>
      <w:r>
        <w:rPr>
          <w:b/>
        </w:rPr>
        <w:t xml:space="preserve">Due dates for studies: </w:t>
      </w:r>
      <w:r>
        <w:t xml:space="preserve">Studies required by this checklist are due with the NOFA application.  If additional CEQA-related work is required by Oakland Planning staff, it must be submitted to Planning no later than 45 days from the due date of this NOFA; otherwise, the application will be considered withdrawn and </w:t>
      </w:r>
      <w:proofErr w:type="gramStart"/>
      <w:r>
        <w:t>will have to</w:t>
      </w:r>
      <w:proofErr w:type="gramEnd"/>
      <w:r>
        <w:t xml:space="preserve"> be delayed for a future NOFA. </w:t>
      </w:r>
    </w:p>
    <w:p w14:paraId="0E89C537" w14:textId="77777777" w:rsidR="00743989" w:rsidRDefault="00743989" w:rsidP="00743989">
      <w:pPr>
        <w:ind w:left="360"/>
      </w:pPr>
    </w:p>
    <w:p w14:paraId="565F859A" w14:textId="419A346E" w:rsidR="00743989" w:rsidRDefault="00743989" w:rsidP="00743989">
      <w:pPr>
        <w:ind w:left="360"/>
      </w:pPr>
      <w:r>
        <w:rPr>
          <w:b/>
        </w:rPr>
        <w:t xml:space="preserve">Planning Pre-applications: </w:t>
      </w:r>
      <w:r>
        <w:t>If it appears that additional CEQA work will be required, it is advisable that you contact Planning and Zoning (238-3911) to submit a pre-application as early as possible prior to the NOFA submittal date as the development and review of CEQA related documents may exceed 45 days.</w:t>
      </w:r>
      <w:r w:rsidR="00A15054">
        <w:t xml:space="preserve">  </w:t>
      </w:r>
    </w:p>
    <w:p w14:paraId="29954EBF" w14:textId="77777777" w:rsidR="00743989" w:rsidRDefault="00743989" w:rsidP="00743989">
      <w:pPr>
        <w:ind w:left="360"/>
      </w:pPr>
    </w:p>
    <w:p w14:paraId="5FFABB25" w14:textId="77777777" w:rsidR="00743989" w:rsidRDefault="00743989" w:rsidP="00743989"/>
    <w:p w14:paraId="30EA5867" w14:textId="77777777" w:rsidR="00743989" w:rsidRPr="00D57396" w:rsidRDefault="00743989" w:rsidP="00743989">
      <w:pPr>
        <w:jc w:val="center"/>
        <w:rPr>
          <w:sz w:val="28"/>
          <w:szCs w:val="28"/>
        </w:rPr>
      </w:pPr>
      <w:r w:rsidRPr="00D57396">
        <w:rPr>
          <w:b/>
          <w:sz w:val="28"/>
          <w:szCs w:val="28"/>
        </w:rPr>
        <w:t>Preliminary CEQA Checklist</w:t>
      </w:r>
    </w:p>
    <w:p w14:paraId="294E38B8" w14:textId="77777777" w:rsidR="00743989" w:rsidRDefault="00743989" w:rsidP="00743989">
      <w:pPr>
        <w:rPr>
          <w:b/>
        </w:rPr>
      </w:pPr>
      <w:r w:rsidRPr="00D57396">
        <w:t>Project Address</w:t>
      </w:r>
      <w:r>
        <w:rPr>
          <w:b/>
        </w:rPr>
        <w:t>: _______________________________________</w:t>
      </w:r>
    </w:p>
    <w:p w14:paraId="38E2A164" w14:textId="77777777" w:rsidR="00743989" w:rsidRPr="0006076A" w:rsidRDefault="00743989" w:rsidP="00743989">
      <w:r w:rsidRPr="00D57396">
        <w:t>Project APN:</w:t>
      </w:r>
      <w:r>
        <w:rPr>
          <w:b/>
        </w:rPr>
        <w:t xml:space="preserve"> __________________________________________</w:t>
      </w:r>
    </w:p>
    <w:p w14:paraId="69565C28" w14:textId="77777777" w:rsidR="00743989" w:rsidRPr="0006076A" w:rsidRDefault="00743989" w:rsidP="00743989">
      <w:r w:rsidRPr="0006076A">
        <w:t>Is the project new construction or rehabilitation? _________________________</w:t>
      </w:r>
    </w:p>
    <w:p w14:paraId="311A5AC6" w14:textId="77777777" w:rsidR="00743989" w:rsidRPr="003214A5" w:rsidRDefault="00743989" w:rsidP="00743989">
      <w:pPr>
        <w:rPr>
          <w:b/>
        </w:rPr>
      </w:pPr>
      <w:r w:rsidRPr="0006076A">
        <w:t>If rehabilitation, is the number of units being changed? (explain if yes) _____________________</w:t>
      </w:r>
      <w:r>
        <w:rPr>
          <w:b/>
        </w:rPr>
        <w:t xml:space="preserve"> </w:t>
      </w:r>
    </w:p>
    <w:p w14:paraId="5B193B84" w14:textId="77777777" w:rsidR="00743989" w:rsidRDefault="00743989" w:rsidP="00743989"/>
    <w:p w14:paraId="720D0BC5" w14:textId="77777777" w:rsidR="00743989" w:rsidRDefault="00743989" w:rsidP="00743989">
      <w:r w:rsidRPr="000A4E6A">
        <w:t xml:space="preserve">How many dwelling units are </w:t>
      </w:r>
      <w:r>
        <w:t xml:space="preserve">in the </w:t>
      </w:r>
      <w:r w:rsidRPr="000A4E6A">
        <w:t xml:space="preserve">proposed project? ___________ </w:t>
      </w:r>
    </w:p>
    <w:p w14:paraId="79897614" w14:textId="77777777" w:rsidR="00743989" w:rsidRDefault="00743989" w:rsidP="00743989">
      <w:r>
        <w:t>What is the n</w:t>
      </w:r>
      <w:r w:rsidRPr="000A4E6A">
        <w:t>on-</w:t>
      </w:r>
      <w:r>
        <w:t>r</w:t>
      </w:r>
      <w:r w:rsidRPr="000A4E6A">
        <w:t xml:space="preserve">esidential square footage? ________________ </w:t>
      </w:r>
    </w:p>
    <w:p w14:paraId="2983E4AA" w14:textId="77777777" w:rsidR="00743989" w:rsidRDefault="00743989" w:rsidP="00743989">
      <w:r>
        <w:t>What is the total square footage of the entire project site? ________________</w:t>
      </w:r>
    </w:p>
    <w:p w14:paraId="43E809ED" w14:textId="77777777" w:rsidR="00743989" w:rsidRDefault="00743989" w:rsidP="00743989">
      <w:r>
        <w:t>Is the project site located within a Specific Plan Area? ____________________</w:t>
      </w:r>
    </w:p>
    <w:p w14:paraId="0D99F09B" w14:textId="0A03251C" w:rsidR="00A15054" w:rsidRPr="00803CD2" w:rsidRDefault="00743989" w:rsidP="00743989">
      <w:r>
        <w:t>If so, which one? __________________________________________________</w:t>
      </w:r>
      <w:bookmarkStart w:id="1" w:name="_GoBack"/>
      <w:bookmarkEnd w:id="1"/>
    </w:p>
    <w:p w14:paraId="7D2B7AB2" w14:textId="77777777" w:rsidR="00743989" w:rsidRPr="00293A1D" w:rsidRDefault="00743989" w:rsidP="00743989">
      <w:pPr>
        <w:numPr>
          <w:ilvl w:val="0"/>
          <w:numId w:val="2"/>
        </w:numPr>
        <w:spacing w:after="120"/>
        <w:rPr>
          <w:b/>
          <w:u w:val="single"/>
        </w:rPr>
      </w:pPr>
      <w:r w:rsidRPr="00293A1D">
        <w:rPr>
          <w:b/>
          <w:u w:val="single"/>
        </w:rPr>
        <w:lastRenderedPageBreak/>
        <w:t>Transportation Impact Study (Check all applicable boxes)</w:t>
      </w:r>
    </w:p>
    <w:p w14:paraId="080EF907" w14:textId="77777777" w:rsidR="00743989" w:rsidRPr="000A4E6A" w:rsidRDefault="00743989" w:rsidP="00743989">
      <w:pPr>
        <w:numPr>
          <w:ilvl w:val="1"/>
          <w:numId w:val="2"/>
        </w:numPr>
      </w:pPr>
      <w:r w:rsidRPr="000870A9">
        <w:t>Conflict</w:t>
      </w:r>
      <w:r>
        <w:t>s</w:t>
      </w:r>
      <w:r w:rsidRPr="000870A9">
        <w:t xml:space="preserve"> with a plan, ordinance, or policy addressing the safety or performance of the circulation system, including transit, roadways, bicycle and pedestrian </w:t>
      </w:r>
      <w:r>
        <w:t xml:space="preserve">facilities </w:t>
      </w:r>
      <w:r w:rsidRPr="000870A9">
        <w:t>(except for automobile level of service or other measures of vehicle delay);</w:t>
      </w:r>
      <w:r>
        <w:tab/>
      </w:r>
      <w:r>
        <w:tab/>
      </w:r>
      <w:r w:rsidRPr="000A4E6A">
        <w:tab/>
      </w:r>
      <w:r>
        <w:tab/>
      </w:r>
      <w:r>
        <w:tab/>
      </w:r>
      <w:r>
        <w:tab/>
      </w:r>
      <w:r>
        <w:tab/>
      </w:r>
      <w:r>
        <w:tab/>
      </w:r>
      <w:r>
        <w:tab/>
      </w:r>
      <w:r>
        <w:tab/>
      </w:r>
      <w:r>
        <w:tab/>
      </w:r>
      <w:r>
        <w:tab/>
      </w:r>
      <w:r>
        <w:tab/>
      </w:r>
      <w:r>
        <w:tab/>
      </w:r>
      <w:r w:rsidRPr="000A4E6A">
        <w:fldChar w:fldCharType="begin">
          <w:ffData>
            <w:name w:val="Check1"/>
            <w:enabled/>
            <w:calcOnExit w:val="0"/>
            <w:checkBox>
              <w:sizeAuto/>
              <w:default w:val="0"/>
            </w:checkBox>
          </w:ffData>
        </w:fldChar>
      </w:r>
      <w:r w:rsidRPr="000A4E6A">
        <w:instrText xml:space="preserve"> FORMCHECKBOX </w:instrText>
      </w:r>
      <w:r w:rsidR="00803CD2">
        <w:fldChar w:fldCharType="separate"/>
      </w:r>
      <w:r w:rsidRPr="000A4E6A">
        <w:fldChar w:fldCharType="end"/>
      </w:r>
    </w:p>
    <w:p w14:paraId="4174267C" w14:textId="77777777" w:rsidR="00743989" w:rsidRDefault="00743989" w:rsidP="00743989">
      <w:pPr>
        <w:numPr>
          <w:ilvl w:val="1"/>
          <w:numId w:val="2"/>
        </w:numPr>
      </w:pPr>
      <w:r w:rsidRPr="000870A9">
        <w:t>Cause</w:t>
      </w:r>
      <w:r>
        <w:t>s</w:t>
      </w:r>
      <w:r w:rsidRPr="000870A9">
        <w:t xml:space="preserve"> substantial additional vehicle miles traveled (per capita, per service population, or other appropriate efficiency measure);</w:t>
      </w:r>
    </w:p>
    <w:p w14:paraId="1FF52B94" w14:textId="77777777" w:rsidR="00743989" w:rsidRDefault="00743989" w:rsidP="00743989">
      <w:pPr>
        <w:ind w:left="7200" w:firstLine="720"/>
      </w:pPr>
      <w:r w:rsidRPr="000A4E6A">
        <w:fldChar w:fldCharType="begin">
          <w:ffData>
            <w:name w:val="Check2"/>
            <w:enabled/>
            <w:calcOnExit w:val="0"/>
            <w:checkBox>
              <w:sizeAuto/>
              <w:default w:val="0"/>
            </w:checkBox>
          </w:ffData>
        </w:fldChar>
      </w:r>
      <w:r w:rsidRPr="000A4E6A">
        <w:instrText xml:space="preserve"> FORMCHECKBOX </w:instrText>
      </w:r>
      <w:r w:rsidR="00803CD2">
        <w:fldChar w:fldCharType="separate"/>
      </w:r>
      <w:r w:rsidRPr="000A4E6A">
        <w:fldChar w:fldCharType="end"/>
      </w:r>
    </w:p>
    <w:p w14:paraId="1B95A003" w14:textId="77777777" w:rsidR="00743989" w:rsidRDefault="00743989" w:rsidP="00743989">
      <w:pPr>
        <w:numPr>
          <w:ilvl w:val="1"/>
          <w:numId w:val="2"/>
        </w:numPr>
      </w:pPr>
      <w:r>
        <w:t>Substantially induces additional automobile travel by increasing physical roadway capacity in congested areas or by adding new roadways to the network.</w:t>
      </w:r>
      <w:r>
        <w:tab/>
      </w:r>
      <w:r>
        <w:tab/>
      </w:r>
      <w:r>
        <w:tab/>
      </w:r>
    </w:p>
    <w:p w14:paraId="5628655C" w14:textId="77777777" w:rsidR="00743989" w:rsidRDefault="00743989" w:rsidP="00743989">
      <w:pPr>
        <w:ind w:left="7200" w:firstLine="720"/>
      </w:pPr>
      <w:r w:rsidRPr="000A4E6A">
        <w:fldChar w:fldCharType="begin">
          <w:ffData>
            <w:name w:val="Check2"/>
            <w:enabled/>
            <w:calcOnExit w:val="0"/>
            <w:checkBox>
              <w:sizeAuto/>
              <w:default w:val="0"/>
            </w:checkBox>
          </w:ffData>
        </w:fldChar>
      </w:r>
      <w:r w:rsidRPr="000A4E6A">
        <w:instrText xml:space="preserve"> FORMCHECKBOX </w:instrText>
      </w:r>
      <w:r w:rsidR="00803CD2">
        <w:fldChar w:fldCharType="separate"/>
      </w:r>
      <w:r w:rsidRPr="000A4E6A">
        <w:fldChar w:fldCharType="end"/>
      </w:r>
      <w:r w:rsidRPr="000A4E6A">
        <w:t xml:space="preserve">  </w:t>
      </w:r>
    </w:p>
    <w:p w14:paraId="66C56531" w14:textId="77777777" w:rsidR="00743989" w:rsidRPr="000A4E6A" w:rsidRDefault="00743989" w:rsidP="00743989">
      <w:pPr>
        <w:ind w:left="7200" w:firstLine="720"/>
      </w:pPr>
    </w:p>
    <w:p w14:paraId="3DC802C9" w14:textId="77777777" w:rsidR="00743989" w:rsidRPr="000A4E6A" w:rsidRDefault="00743989" w:rsidP="00743989">
      <w:pPr>
        <w:numPr>
          <w:ilvl w:val="0"/>
          <w:numId w:val="2"/>
        </w:numPr>
        <w:spacing w:after="120"/>
      </w:pPr>
      <w:r w:rsidRPr="00FF56B1">
        <w:rPr>
          <w:b/>
          <w:u w:val="single"/>
        </w:rPr>
        <w:t>Air Qualit</w:t>
      </w:r>
      <w:r>
        <w:rPr>
          <w:b/>
          <w:u w:val="single"/>
        </w:rPr>
        <w:t>y</w:t>
      </w:r>
    </w:p>
    <w:p w14:paraId="3D1FA7C5" w14:textId="77777777" w:rsidR="00743989" w:rsidRPr="003A0690" w:rsidRDefault="00743989" w:rsidP="00743989">
      <w:pPr>
        <w:numPr>
          <w:ilvl w:val="1"/>
          <w:numId w:val="2"/>
        </w:numPr>
        <w:rPr>
          <w:b/>
        </w:rPr>
      </w:pPr>
      <w:r w:rsidRPr="002C2B79">
        <w:rPr>
          <w:b/>
        </w:rPr>
        <w:t xml:space="preserve">Toxic Air </w:t>
      </w:r>
      <w:r w:rsidRPr="002A7CEE">
        <w:rPr>
          <w:b/>
        </w:rPr>
        <w:t>Contaminants – Particulate Matter</w:t>
      </w:r>
      <w:r>
        <w:rPr>
          <w:b/>
        </w:rPr>
        <w:t xml:space="preserve"> and</w:t>
      </w:r>
      <w:r w:rsidRPr="002C5F02">
        <w:rPr>
          <w:b/>
        </w:rPr>
        <w:t xml:space="preserve"> </w:t>
      </w:r>
      <w:r w:rsidRPr="002A7CEE">
        <w:rPr>
          <w:b/>
        </w:rPr>
        <w:t>Gaseous Emissions</w:t>
      </w:r>
      <w:r>
        <w:rPr>
          <w:b/>
        </w:rPr>
        <w:t>.</w:t>
      </w:r>
      <w:r>
        <w:t xml:space="preserve">  Is the project located within 1000 feet of one or more of the following sources?  Check box for "Yes," in which case the project is likely to require a health risk analysis and/or project features (e.g., air filters) to reduce health impacts.</w:t>
      </w:r>
    </w:p>
    <w:p w14:paraId="027406BD" w14:textId="77777777" w:rsidR="00743989" w:rsidRPr="00916D84" w:rsidRDefault="00743989" w:rsidP="00743989">
      <w:pPr>
        <w:ind w:left="720"/>
        <w:rPr>
          <w:b/>
        </w:rPr>
      </w:pPr>
      <w:r>
        <w:rPr>
          <w:i/>
        </w:rPr>
        <w:t>(Information available at the website for the Bay Area Air Quality Management District at www.baaqmd.gov)</w:t>
      </w:r>
    </w:p>
    <w:p w14:paraId="38332FCA" w14:textId="77777777" w:rsidR="00743989" w:rsidRDefault="00743989" w:rsidP="00743989">
      <w:pPr>
        <w:ind w:left="360"/>
      </w:pPr>
    </w:p>
    <w:p w14:paraId="1EBD3BE4" w14:textId="77777777" w:rsidR="00743989" w:rsidRPr="00CA70BA" w:rsidRDefault="00743989" w:rsidP="00743989">
      <w:pPr>
        <w:numPr>
          <w:ilvl w:val="2"/>
          <w:numId w:val="2"/>
        </w:numPr>
      </w:pPr>
      <w:r w:rsidRPr="00CA70BA">
        <w:t>Freeway</w:t>
      </w:r>
      <w:r w:rsidRPr="00CA70BA">
        <w:tab/>
      </w:r>
      <w:r w:rsidRPr="00CA70BA">
        <w:tab/>
      </w:r>
      <w:r w:rsidRPr="00CA70BA">
        <w:tab/>
      </w:r>
      <w:r w:rsidRPr="00CA70BA">
        <w:tab/>
      </w:r>
      <w:r w:rsidRPr="00CA70BA">
        <w:tab/>
      </w:r>
      <w:r w:rsidRPr="00CA70BA">
        <w:tab/>
      </w:r>
      <w:r w:rsidRPr="00CA70BA">
        <w:tab/>
      </w:r>
      <w:r w:rsidRPr="00CA70BA">
        <w:tab/>
      </w:r>
      <w:r w:rsidRPr="00CA70BA">
        <w:fldChar w:fldCharType="begin">
          <w:ffData>
            <w:name w:val="Check4"/>
            <w:enabled/>
            <w:calcOnExit w:val="0"/>
            <w:checkBox>
              <w:sizeAuto/>
              <w:default w:val="0"/>
            </w:checkBox>
          </w:ffData>
        </w:fldChar>
      </w:r>
      <w:r w:rsidRPr="00CA70BA">
        <w:instrText xml:space="preserve"> FORMCHECKBOX </w:instrText>
      </w:r>
      <w:r w:rsidR="00803CD2">
        <w:fldChar w:fldCharType="separate"/>
      </w:r>
      <w:r w:rsidRPr="00CA70BA">
        <w:fldChar w:fldCharType="end"/>
      </w:r>
    </w:p>
    <w:p w14:paraId="5CAF6CB3" w14:textId="77777777" w:rsidR="00743989" w:rsidRPr="00CA70BA" w:rsidRDefault="00743989" w:rsidP="00743989">
      <w:pPr>
        <w:numPr>
          <w:ilvl w:val="2"/>
          <w:numId w:val="2"/>
        </w:numPr>
      </w:pPr>
      <w:r w:rsidRPr="00CA70BA">
        <w:t>Roadway with 10,000 or more vehicles per day</w:t>
      </w:r>
      <w:r w:rsidRPr="00CA70BA">
        <w:tab/>
      </w:r>
      <w:r w:rsidRPr="00CA70BA">
        <w:tab/>
      </w:r>
      <w:r w:rsidRPr="00CA70BA">
        <w:tab/>
      </w:r>
      <w:r w:rsidRPr="00CA70BA">
        <w:fldChar w:fldCharType="begin">
          <w:ffData>
            <w:name w:val="Check5"/>
            <w:enabled/>
            <w:calcOnExit w:val="0"/>
            <w:checkBox>
              <w:sizeAuto/>
              <w:default w:val="0"/>
            </w:checkBox>
          </w:ffData>
        </w:fldChar>
      </w:r>
      <w:r w:rsidRPr="00CA70BA">
        <w:instrText xml:space="preserve"> FORMCHECKBOX </w:instrText>
      </w:r>
      <w:r w:rsidR="00803CD2">
        <w:fldChar w:fldCharType="separate"/>
      </w:r>
      <w:r w:rsidRPr="00CA70BA">
        <w:fldChar w:fldCharType="end"/>
      </w:r>
    </w:p>
    <w:p w14:paraId="50E9E4D2" w14:textId="77777777" w:rsidR="00743989" w:rsidRPr="00CA70BA" w:rsidRDefault="00743989" w:rsidP="00743989">
      <w:pPr>
        <w:numPr>
          <w:ilvl w:val="2"/>
          <w:numId w:val="2"/>
        </w:numPr>
      </w:pPr>
      <w:r w:rsidRPr="00CA70BA">
        <w:t>Rail line (except BART) with over 30 trains per day</w:t>
      </w:r>
      <w:r w:rsidRPr="00CA70BA">
        <w:tab/>
      </w:r>
      <w:r w:rsidRPr="00CA70BA">
        <w:tab/>
      </w:r>
      <w:r w:rsidRPr="00CA70BA">
        <w:fldChar w:fldCharType="begin">
          <w:ffData>
            <w:name w:val="Check6"/>
            <w:enabled/>
            <w:calcOnExit w:val="0"/>
            <w:checkBox>
              <w:sizeAuto/>
              <w:default w:val="0"/>
            </w:checkBox>
          </w:ffData>
        </w:fldChar>
      </w:r>
      <w:r w:rsidRPr="00CA70BA">
        <w:instrText xml:space="preserve"> FORMCHECKBOX </w:instrText>
      </w:r>
      <w:r w:rsidR="00803CD2">
        <w:fldChar w:fldCharType="separate"/>
      </w:r>
      <w:r w:rsidRPr="00CA70BA">
        <w:fldChar w:fldCharType="end"/>
      </w:r>
    </w:p>
    <w:p w14:paraId="37FC254E" w14:textId="77777777" w:rsidR="00743989" w:rsidRPr="00CA70BA" w:rsidRDefault="00743989" w:rsidP="00743989">
      <w:pPr>
        <w:numPr>
          <w:ilvl w:val="2"/>
          <w:numId w:val="2"/>
        </w:numPr>
      </w:pPr>
      <w:r w:rsidRPr="00CA70BA">
        <w:t>Distribution center that accommodates more than 100 trucks per day, more than 40 trucks with operating refrigeration units per day, or where the refrigeration unit operations exceed 300 hours per week</w:t>
      </w:r>
      <w:r w:rsidRPr="00CA70BA">
        <w:tab/>
      </w:r>
      <w:r w:rsidRPr="00CA70BA">
        <w:tab/>
      </w:r>
      <w:r w:rsidRPr="00CA70BA">
        <w:tab/>
      </w:r>
      <w:r w:rsidRPr="00CA70BA">
        <w:tab/>
      </w:r>
      <w:r w:rsidRPr="00CA70BA">
        <w:fldChar w:fldCharType="begin">
          <w:ffData>
            <w:name w:val="Check7"/>
            <w:enabled/>
            <w:calcOnExit w:val="0"/>
            <w:checkBox>
              <w:sizeAuto/>
              <w:default w:val="0"/>
            </w:checkBox>
          </w:ffData>
        </w:fldChar>
      </w:r>
      <w:r w:rsidRPr="00CA70BA">
        <w:instrText xml:space="preserve"> FORMCHECKBOX </w:instrText>
      </w:r>
      <w:r w:rsidR="00803CD2">
        <w:fldChar w:fldCharType="separate"/>
      </w:r>
      <w:r w:rsidRPr="00CA70BA">
        <w:fldChar w:fldCharType="end"/>
      </w:r>
      <w:r w:rsidRPr="00CA70BA">
        <w:tab/>
      </w:r>
    </w:p>
    <w:p w14:paraId="5F2FF315" w14:textId="77777777" w:rsidR="00743989" w:rsidRPr="00CA70BA" w:rsidRDefault="00743989" w:rsidP="00743989">
      <w:pPr>
        <w:numPr>
          <w:ilvl w:val="2"/>
          <w:numId w:val="2"/>
        </w:numPr>
      </w:pPr>
      <w:r w:rsidRPr="00CA70BA">
        <w:t>Major service and maintenance rail or truck yard</w:t>
      </w:r>
      <w:r w:rsidRPr="00CA70BA">
        <w:tab/>
      </w:r>
      <w:r w:rsidRPr="00CA70BA">
        <w:tab/>
      </w:r>
      <w:r w:rsidRPr="00CA70BA">
        <w:fldChar w:fldCharType="begin">
          <w:ffData>
            <w:name w:val="Check8"/>
            <w:enabled/>
            <w:calcOnExit w:val="0"/>
            <w:checkBox>
              <w:sizeAuto/>
              <w:default w:val="0"/>
            </w:checkBox>
          </w:ffData>
        </w:fldChar>
      </w:r>
      <w:r w:rsidRPr="00CA70BA">
        <w:instrText xml:space="preserve"> FORMCHECKBOX </w:instrText>
      </w:r>
      <w:r w:rsidR="00803CD2">
        <w:fldChar w:fldCharType="separate"/>
      </w:r>
      <w:r w:rsidRPr="00CA70BA">
        <w:fldChar w:fldCharType="end"/>
      </w:r>
    </w:p>
    <w:p w14:paraId="4D8D4CFC" w14:textId="77777777" w:rsidR="00743989" w:rsidRDefault="00743989" w:rsidP="00743989">
      <w:pPr>
        <w:numPr>
          <w:ilvl w:val="2"/>
          <w:numId w:val="2"/>
        </w:numPr>
      </w:pPr>
      <w:r w:rsidRPr="00CA70BA">
        <w:t>The Port of Oakland</w:t>
      </w:r>
      <w:r>
        <w:t xml:space="preserve"> (seaport and airport)</w:t>
      </w:r>
    </w:p>
    <w:p w14:paraId="40CF5004" w14:textId="77777777" w:rsidR="00743989" w:rsidRDefault="00743989" w:rsidP="00743989">
      <w:pPr>
        <w:numPr>
          <w:ilvl w:val="2"/>
          <w:numId w:val="2"/>
        </w:numPr>
      </w:pPr>
      <w:r>
        <w:t>Ferry Terminal; and</w:t>
      </w:r>
    </w:p>
    <w:p w14:paraId="6C3D7594" w14:textId="77777777" w:rsidR="00743989" w:rsidRDefault="00743989" w:rsidP="00743989">
      <w:pPr>
        <w:numPr>
          <w:ilvl w:val="2"/>
          <w:numId w:val="2"/>
        </w:numPr>
      </w:pPr>
      <w:r w:rsidRPr="00A34019">
        <w:rPr>
          <w:bCs/>
          <w:sz w:val="28"/>
          <w:szCs w:val="28"/>
        </w:rPr>
        <w:t>Stationary pollutant source requiring a permit from BAAQMD</w:t>
      </w:r>
      <w:r>
        <w:rPr>
          <w:bCs/>
          <w:sz w:val="28"/>
          <w:szCs w:val="28"/>
        </w:rPr>
        <w:t>, including</w:t>
      </w:r>
      <w:r>
        <w:t>:</w:t>
      </w:r>
    </w:p>
    <w:p w14:paraId="0CD49D97" w14:textId="77777777" w:rsidR="00743989" w:rsidRPr="00A34019" w:rsidRDefault="00743989" w:rsidP="00743989">
      <w:pPr>
        <w:numPr>
          <w:ilvl w:val="3"/>
          <w:numId w:val="4"/>
        </w:numPr>
      </w:pPr>
      <w:r w:rsidRPr="00A34019">
        <w:t>Electroplating or chrome plating facility</w:t>
      </w:r>
      <w:r w:rsidRPr="00A34019">
        <w:tab/>
      </w:r>
      <w:r w:rsidRPr="00A34019">
        <w:tab/>
      </w:r>
      <w:r w:rsidRPr="00A34019">
        <w:tab/>
      </w:r>
      <w:r w:rsidRPr="00A34019">
        <w:fldChar w:fldCharType="begin">
          <w:ffData>
            <w:name w:val="Check4"/>
            <w:enabled/>
            <w:calcOnExit w:val="0"/>
            <w:checkBox>
              <w:sizeAuto/>
              <w:default w:val="0"/>
            </w:checkBox>
          </w:ffData>
        </w:fldChar>
      </w:r>
      <w:r w:rsidRPr="00A34019">
        <w:instrText xml:space="preserve"> FORMCHECKBOX </w:instrText>
      </w:r>
      <w:r w:rsidR="00803CD2">
        <w:fldChar w:fldCharType="separate"/>
      </w:r>
      <w:r w:rsidRPr="00A34019">
        <w:fldChar w:fldCharType="end"/>
      </w:r>
    </w:p>
    <w:p w14:paraId="53AE4FD8" w14:textId="77777777" w:rsidR="00743989" w:rsidRPr="00A34019" w:rsidRDefault="00743989" w:rsidP="00743989">
      <w:pPr>
        <w:numPr>
          <w:ilvl w:val="3"/>
          <w:numId w:val="4"/>
        </w:numPr>
      </w:pPr>
      <w:r w:rsidRPr="00A34019">
        <w:t>Dry cleaner using Perchloroethylene</w:t>
      </w:r>
      <w:r w:rsidRPr="00A34019">
        <w:tab/>
      </w:r>
      <w:r w:rsidRPr="00A34019">
        <w:tab/>
      </w:r>
      <w:r w:rsidRPr="00A34019">
        <w:tab/>
      </w:r>
      <w:r>
        <w:tab/>
      </w:r>
      <w:r w:rsidRPr="00A34019">
        <w:fldChar w:fldCharType="begin">
          <w:ffData>
            <w:name w:val="Check5"/>
            <w:enabled/>
            <w:calcOnExit w:val="0"/>
            <w:checkBox>
              <w:sizeAuto/>
              <w:default w:val="0"/>
            </w:checkBox>
          </w:ffData>
        </w:fldChar>
      </w:r>
      <w:r w:rsidRPr="00A34019">
        <w:instrText xml:space="preserve"> FORMCHECKBOX </w:instrText>
      </w:r>
      <w:r w:rsidR="00803CD2">
        <w:fldChar w:fldCharType="separate"/>
      </w:r>
      <w:r w:rsidRPr="00A34019">
        <w:fldChar w:fldCharType="end"/>
      </w:r>
    </w:p>
    <w:p w14:paraId="6139EED4" w14:textId="77777777" w:rsidR="00743989" w:rsidRPr="00A34019" w:rsidRDefault="00743989" w:rsidP="00743989">
      <w:pPr>
        <w:numPr>
          <w:ilvl w:val="3"/>
          <w:numId w:val="4"/>
        </w:numPr>
      </w:pPr>
      <w:r w:rsidRPr="00A34019">
        <w:t>Auto body shop</w:t>
      </w:r>
      <w:r w:rsidRPr="00A34019">
        <w:tab/>
      </w:r>
      <w:r w:rsidRPr="00A34019">
        <w:tab/>
      </w:r>
      <w:r w:rsidRPr="00A34019">
        <w:tab/>
      </w:r>
      <w:r w:rsidRPr="00A34019">
        <w:tab/>
      </w:r>
      <w:r w:rsidRPr="00A34019">
        <w:tab/>
      </w:r>
      <w:r w:rsidRPr="00A34019">
        <w:tab/>
      </w:r>
      <w:r w:rsidRPr="00A34019">
        <w:fldChar w:fldCharType="begin">
          <w:ffData>
            <w:name w:val="Check6"/>
            <w:enabled/>
            <w:calcOnExit w:val="0"/>
            <w:checkBox>
              <w:sizeAuto/>
              <w:default w:val="0"/>
            </w:checkBox>
          </w:ffData>
        </w:fldChar>
      </w:r>
      <w:r w:rsidRPr="00A34019">
        <w:instrText xml:space="preserve"> FORMCHECKBOX </w:instrText>
      </w:r>
      <w:r w:rsidR="00803CD2">
        <w:fldChar w:fldCharType="separate"/>
      </w:r>
      <w:r w:rsidRPr="00A34019">
        <w:fldChar w:fldCharType="end"/>
      </w:r>
      <w:r w:rsidRPr="00A34019">
        <w:tab/>
      </w:r>
      <w:r w:rsidRPr="00A34019">
        <w:tab/>
      </w:r>
    </w:p>
    <w:p w14:paraId="068C214C" w14:textId="77777777" w:rsidR="00743989" w:rsidRPr="00A34019" w:rsidRDefault="00743989" w:rsidP="00743989">
      <w:pPr>
        <w:numPr>
          <w:ilvl w:val="3"/>
          <w:numId w:val="4"/>
        </w:numPr>
        <w:jc w:val="both"/>
        <w:rPr>
          <w:bCs/>
          <w:sz w:val="28"/>
          <w:szCs w:val="28"/>
        </w:rPr>
      </w:pPr>
      <w:r w:rsidRPr="00A34019">
        <w:rPr>
          <w:bCs/>
        </w:rPr>
        <w:t>Diesel generators</w:t>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sidRPr="00CA70BA">
        <w:fldChar w:fldCharType="begin">
          <w:ffData>
            <w:name w:val="Check7"/>
            <w:enabled/>
            <w:calcOnExit w:val="0"/>
            <w:checkBox>
              <w:sizeAuto/>
              <w:default w:val="0"/>
            </w:checkBox>
          </w:ffData>
        </w:fldChar>
      </w:r>
      <w:r w:rsidRPr="00CA70BA">
        <w:instrText xml:space="preserve"> FORMCHECKBOX </w:instrText>
      </w:r>
      <w:r w:rsidR="00803CD2">
        <w:fldChar w:fldCharType="separate"/>
      </w:r>
      <w:r w:rsidRPr="00CA70BA">
        <w:fldChar w:fldCharType="end"/>
      </w:r>
    </w:p>
    <w:p w14:paraId="48E611C3" w14:textId="77777777" w:rsidR="00743989" w:rsidRDefault="00743989" w:rsidP="00743989"/>
    <w:p w14:paraId="3D4445AC" w14:textId="77777777" w:rsidR="00743989" w:rsidRPr="000A4E6A" w:rsidRDefault="00743989" w:rsidP="00743989">
      <w:pPr>
        <w:numPr>
          <w:ilvl w:val="1"/>
          <w:numId w:val="2"/>
        </w:numPr>
      </w:pPr>
      <w:r w:rsidRPr="0027028C">
        <w:rPr>
          <w:b/>
        </w:rPr>
        <w:t>Greenhouse Gases</w:t>
      </w:r>
      <w:r>
        <w:rPr>
          <w:b/>
        </w:rPr>
        <w:t xml:space="preserve"> - operations</w:t>
      </w:r>
      <w:r w:rsidRPr="0027028C">
        <w:rPr>
          <w:b/>
        </w:rPr>
        <w:t>.</w:t>
      </w:r>
      <w:r>
        <w:t xml:space="preserve">  </w:t>
      </w:r>
      <w:r w:rsidRPr="000A4E6A">
        <w:t xml:space="preserve">The following project types will require an analysis of annual </w:t>
      </w:r>
      <w:r w:rsidRPr="00916D84">
        <w:rPr>
          <w:i/>
          <w:u w:val="single"/>
        </w:rPr>
        <w:t>operational</w:t>
      </w:r>
      <w:r w:rsidRPr="000A4E6A">
        <w:t xml:space="preserve"> Greenhouse Gas emissions</w:t>
      </w:r>
      <w:r>
        <w:t>, to be submitted with the application</w:t>
      </w:r>
      <w:r w:rsidRPr="000A4E6A">
        <w:t>.</w:t>
      </w:r>
    </w:p>
    <w:p w14:paraId="7F31BD88" w14:textId="77777777" w:rsidR="00743989" w:rsidRPr="000A4E6A" w:rsidRDefault="00743989" w:rsidP="00743989"/>
    <w:p w14:paraId="324119BF" w14:textId="77777777" w:rsidR="00743989" w:rsidRPr="00CA70BA" w:rsidRDefault="00743989" w:rsidP="00743989">
      <w:pPr>
        <w:numPr>
          <w:ilvl w:val="2"/>
          <w:numId w:val="2"/>
        </w:numPr>
      </w:pPr>
      <w:r>
        <w:t>Residential</w:t>
      </w:r>
      <w:r w:rsidRPr="00CA70BA">
        <w:t xml:space="preserve"> development with </w:t>
      </w:r>
      <w:r>
        <w:t>172</w:t>
      </w:r>
      <w:r w:rsidRPr="00CA70BA">
        <w:t xml:space="preserve"> units or more</w:t>
      </w:r>
      <w:r w:rsidRPr="00CA70BA">
        <w:tab/>
      </w:r>
      <w:r w:rsidRPr="00CA70BA">
        <w:tab/>
      </w:r>
      <w:r>
        <w:tab/>
      </w:r>
      <w:r w:rsidRPr="00CA70BA">
        <w:fldChar w:fldCharType="begin">
          <w:ffData>
            <w:name w:val="Check4"/>
            <w:enabled/>
            <w:calcOnExit w:val="0"/>
            <w:checkBox>
              <w:sizeAuto/>
              <w:default w:val="0"/>
            </w:checkBox>
          </w:ffData>
        </w:fldChar>
      </w:r>
      <w:r w:rsidRPr="00CA70BA">
        <w:instrText xml:space="preserve"> FORMCHECKBOX </w:instrText>
      </w:r>
      <w:r w:rsidR="00803CD2">
        <w:fldChar w:fldCharType="separate"/>
      </w:r>
      <w:r w:rsidRPr="00CA70BA">
        <w:fldChar w:fldCharType="end"/>
      </w:r>
    </w:p>
    <w:p w14:paraId="06857A4C" w14:textId="77777777" w:rsidR="00743989" w:rsidRPr="000A4E6A" w:rsidRDefault="00743989" w:rsidP="00743989">
      <w:pPr>
        <w:numPr>
          <w:ilvl w:val="2"/>
          <w:numId w:val="2"/>
        </w:numPr>
      </w:pPr>
      <w:r w:rsidRPr="00CA70BA">
        <w:t>Project does not exceed the above threshold</w:t>
      </w:r>
      <w:r w:rsidRPr="00CA70BA">
        <w:tab/>
      </w:r>
      <w:r>
        <w:tab/>
      </w:r>
      <w:r w:rsidRPr="00CA70BA">
        <w:tab/>
      </w:r>
      <w:r w:rsidRPr="00CA70BA">
        <w:fldChar w:fldCharType="begin">
          <w:ffData>
            <w:name w:val="Check9"/>
            <w:enabled/>
            <w:calcOnExit w:val="0"/>
            <w:checkBox>
              <w:sizeAuto/>
              <w:default w:val="0"/>
            </w:checkBox>
          </w:ffData>
        </w:fldChar>
      </w:r>
      <w:r w:rsidRPr="00CA70BA">
        <w:instrText xml:space="preserve"> FORMCHECKBOX </w:instrText>
      </w:r>
      <w:r w:rsidR="00803CD2">
        <w:fldChar w:fldCharType="separate"/>
      </w:r>
      <w:r w:rsidRPr="00CA70BA">
        <w:fldChar w:fldCharType="end"/>
      </w:r>
    </w:p>
    <w:p w14:paraId="49B17B24" w14:textId="77777777" w:rsidR="00743989" w:rsidRPr="00CA70BA" w:rsidRDefault="00743989" w:rsidP="00743989">
      <w:pPr>
        <w:ind w:left="1080"/>
      </w:pPr>
    </w:p>
    <w:p w14:paraId="38CE037F" w14:textId="77777777" w:rsidR="00743989" w:rsidRPr="00A774D0" w:rsidRDefault="00743989" w:rsidP="00743989">
      <w:pPr>
        <w:numPr>
          <w:ilvl w:val="0"/>
          <w:numId w:val="2"/>
        </w:numPr>
        <w:spacing w:after="120"/>
        <w:rPr>
          <w:b/>
        </w:rPr>
      </w:pPr>
      <w:r>
        <w:rPr>
          <w:b/>
        </w:rPr>
        <w:t>Historic Resources</w:t>
      </w:r>
    </w:p>
    <w:p w14:paraId="5268FCCC" w14:textId="77777777" w:rsidR="00743989" w:rsidRPr="007732EC" w:rsidRDefault="00743989" w:rsidP="00743989">
      <w:r>
        <w:t>Check if</w:t>
      </w:r>
      <w:r w:rsidRPr="000A4E6A">
        <w:t xml:space="preserve"> the project site </w:t>
      </w:r>
      <w:r>
        <w:t xml:space="preserve">is </w:t>
      </w:r>
      <w:r w:rsidRPr="000A4E6A">
        <w:t>located within a historic district, or contain</w:t>
      </w:r>
      <w:r>
        <w:t>s</w:t>
      </w:r>
      <w:r w:rsidRPr="000A4E6A">
        <w:t xml:space="preserve"> a historic </w:t>
      </w:r>
      <w:proofErr w:type="gramStart"/>
      <w:r w:rsidRPr="007732EC">
        <w:t>building</w:t>
      </w:r>
      <w:r w:rsidRPr="00514DDB">
        <w:t>._</w:t>
      </w:r>
      <w:proofErr w:type="gramEnd"/>
      <w:r w:rsidRPr="00514DDB">
        <w:t>__</w:t>
      </w:r>
      <w:r w:rsidRPr="00514DDB">
        <w:fldChar w:fldCharType="begin">
          <w:ffData>
            <w:name w:val="Check12"/>
            <w:enabled/>
            <w:calcOnExit w:val="0"/>
            <w:checkBox>
              <w:sizeAuto/>
              <w:default w:val="0"/>
            </w:checkBox>
          </w:ffData>
        </w:fldChar>
      </w:r>
      <w:r w:rsidRPr="00514DDB">
        <w:instrText xml:space="preserve"> FORMCHECKBOX </w:instrText>
      </w:r>
      <w:r w:rsidR="00803CD2">
        <w:fldChar w:fldCharType="separate"/>
      </w:r>
      <w:r w:rsidRPr="00514DDB">
        <w:fldChar w:fldCharType="end"/>
      </w:r>
    </w:p>
    <w:p w14:paraId="20B6F9E6" w14:textId="77777777" w:rsidR="00743989" w:rsidRPr="000A4E6A" w:rsidRDefault="00743989" w:rsidP="00743989">
      <w:pPr>
        <w:spacing w:after="120"/>
        <w:rPr>
          <w:i/>
        </w:rPr>
      </w:pPr>
      <w:r>
        <w:rPr>
          <w:i/>
        </w:rPr>
        <w:t>(Historic i</w:t>
      </w:r>
      <w:r w:rsidRPr="000A4E6A">
        <w:rPr>
          <w:i/>
        </w:rPr>
        <w:t>nformation can be obtained from the Planning &amp; Zoning Division at (510)238-</w:t>
      </w:r>
      <w:r>
        <w:rPr>
          <w:i/>
        </w:rPr>
        <w:t>6879</w:t>
      </w:r>
      <w:r w:rsidRPr="000A4E6A">
        <w:rPr>
          <w:i/>
        </w:rPr>
        <w:t>)</w:t>
      </w:r>
    </w:p>
    <w:p w14:paraId="269DB397" w14:textId="77777777" w:rsidR="00743989" w:rsidRDefault="00743989" w:rsidP="00743989">
      <w:pPr>
        <w:numPr>
          <w:ilvl w:val="1"/>
          <w:numId w:val="2"/>
        </w:numPr>
      </w:pPr>
      <w:r w:rsidRPr="000A4E6A">
        <w:lastRenderedPageBreak/>
        <w:t xml:space="preserve">If so, what is the OCHS (Oakland Cultural Heritage Survey) rating of the building? </w:t>
      </w:r>
      <w:r>
        <w:t xml:space="preserve">  ______</w:t>
      </w:r>
    </w:p>
    <w:p w14:paraId="0AFF62D4" w14:textId="77777777" w:rsidR="00743989" w:rsidRDefault="00743989" w:rsidP="00743989">
      <w:pPr>
        <w:numPr>
          <w:ilvl w:val="1"/>
          <w:numId w:val="2"/>
        </w:numPr>
      </w:pPr>
      <w:r w:rsidRPr="000A4E6A">
        <w:t xml:space="preserve">If so, is the building proposed for demolition or alteration? </w:t>
      </w:r>
      <w:r>
        <w:t xml:space="preserve">  ______</w:t>
      </w:r>
    </w:p>
    <w:p w14:paraId="027F109F" w14:textId="77777777" w:rsidR="00743989" w:rsidRDefault="00743989" w:rsidP="00743989">
      <w:pPr>
        <w:numPr>
          <w:ilvl w:val="1"/>
          <w:numId w:val="2"/>
        </w:numPr>
        <w:spacing w:after="120"/>
      </w:pPr>
      <w:r>
        <w:t>Is there a California Office of Historic Preservation DPR Form 523 with rating of 1 to 5?  ______</w:t>
      </w:r>
    </w:p>
    <w:p w14:paraId="5FAD60AD" w14:textId="77777777" w:rsidR="00743989" w:rsidRPr="000A4E6A" w:rsidRDefault="00743989" w:rsidP="00743989">
      <w:pPr>
        <w:spacing w:after="120"/>
        <w:ind w:left="360"/>
      </w:pPr>
      <w:r>
        <w:t xml:space="preserve">Note: </w:t>
      </w:r>
      <w:r w:rsidRPr="000A4E6A">
        <w:t>Any modification to a historic building will require additional CEQA analysis and may not be eligible for a CEQA exemption.</w:t>
      </w:r>
    </w:p>
    <w:p w14:paraId="1962C08B" w14:textId="77777777" w:rsidR="00743989" w:rsidRPr="00A774D0" w:rsidRDefault="00743989" w:rsidP="00743989">
      <w:pPr>
        <w:numPr>
          <w:ilvl w:val="0"/>
          <w:numId w:val="2"/>
        </w:numPr>
        <w:spacing w:after="120"/>
        <w:rPr>
          <w:b/>
        </w:rPr>
      </w:pPr>
      <w:r>
        <w:rPr>
          <w:b/>
        </w:rPr>
        <w:t>Hazardous Materials</w:t>
      </w:r>
    </w:p>
    <w:p w14:paraId="7C8149FE" w14:textId="77777777" w:rsidR="00743989" w:rsidRPr="000A4E6A" w:rsidRDefault="00743989" w:rsidP="00743989">
      <w:r w:rsidRPr="000A4E6A">
        <w:t xml:space="preserve">Is the subject property located on a State List of sites containing hazardous materials compiled pursuant to Section 65962.5 of the Government </w:t>
      </w:r>
      <w:proofErr w:type="gramStart"/>
      <w:r w:rsidRPr="000A4E6A">
        <w:t>Code?_</w:t>
      </w:r>
      <w:proofErr w:type="gramEnd"/>
      <w:r w:rsidRPr="000A4E6A">
        <w:t>_________________</w:t>
      </w:r>
    </w:p>
    <w:p w14:paraId="070089A4" w14:textId="77777777" w:rsidR="00743989" w:rsidRPr="000A4E6A" w:rsidRDefault="00743989" w:rsidP="00743989">
      <w:pPr>
        <w:ind w:left="360"/>
        <w:rPr>
          <w:i/>
        </w:rPr>
      </w:pPr>
      <w:r w:rsidRPr="000A4E6A">
        <w:rPr>
          <w:i/>
        </w:rPr>
        <w:t>(</w:t>
      </w:r>
      <w:proofErr w:type="spellStart"/>
      <w:r>
        <w:rPr>
          <w:i/>
        </w:rPr>
        <w:t>Cortese</w:t>
      </w:r>
      <w:proofErr w:type="spellEnd"/>
      <w:r>
        <w:rPr>
          <w:i/>
        </w:rPr>
        <w:t xml:space="preserve"> list, among others; more i</w:t>
      </w:r>
      <w:r w:rsidRPr="000A4E6A">
        <w:rPr>
          <w:i/>
        </w:rPr>
        <w:t xml:space="preserve">nformation can be obtained from California EPA at </w:t>
      </w:r>
      <w:hyperlink r:id="rId10" w:history="1">
        <w:r w:rsidRPr="000A4E6A">
          <w:rPr>
            <w:rStyle w:val="Hyperlink"/>
            <w:i/>
          </w:rPr>
          <w:t>www.calepa.ca.gov</w:t>
        </w:r>
      </w:hyperlink>
      <w:r w:rsidRPr="000A4E6A">
        <w:rPr>
          <w:i/>
        </w:rPr>
        <w:t>)</w:t>
      </w:r>
    </w:p>
    <w:p w14:paraId="3AAD0F80" w14:textId="77777777" w:rsidR="00743989" w:rsidRPr="000A4E6A" w:rsidRDefault="00743989" w:rsidP="00743989">
      <w:pPr>
        <w:ind w:left="360"/>
        <w:rPr>
          <w:i/>
        </w:rPr>
      </w:pPr>
    </w:p>
    <w:p w14:paraId="1C3880D0" w14:textId="77777777" w:rsidR="00743989" w:rsidRDefault="00743989" w:rsidP="00743989">
      <w:pPr>
        <w:numPr>
          <w:ilvl w:val="1"/>
          <w:numId w:val="3"/>
        </w:numPr>
      </w:pPr>
      <w:r w:rsidRPr="000A4E6A">
        <w:t xml:space="preserve">If so, </w:t>
      </w:r>
      <w:r>
        <w:t>has the site been remediated?  _____</w:t>
      </w:r>
    </w:p>
    <w:p w14:paraId="3EB260D6" w14:textId="77777777" w:rsidR="00743989" w:rsidRDefault="00743989" w:rsidP="00743989">
      <w:pPr>
        <w:numPr>
          <w:ilvl w:val="1"/>
          <w:numId w:val="3"/>
        </w:numPr>
      </w:pPr>
      <w:r>
        <w:t>Is there a “Closure Letter” from the appropriate regulatory Agency?  _____</w:t>
      </w:r>
    </w:p>
    <w:p w14:paraId="5C39D133" w14:textId="77777777" w:rsidR="00743989" w:rsidRDefault="00743989" w:rsidP="00743989">
      <w:pPr>
        <w:numPr>
          <w:ilvl w:val="1"/>
          <w:numId w:val="3"/>
        </w:numPr>
      </w:pPr>
      <w:r>
        <w:t>If not remediated, i</w:t>
      </w:r>
      <w:r w:rsidRPr="000A4E6A">
        <w:t xml:space="preserve">s there an </w:t>
      </w:r>
      <w:r w:rsidRPr="00916D84">
        <w:rPr>
          <w:i/>
          <w:u w:val="single"/>
        </w:rPr>
        <w:t>approved</w:t>
      </w:r>
      <w:r w:rsidRPr="000A4E6A">
        <w:t xml:space="preserve"> Remedial Action Plan (RAP)? __________</w:t>
      </w:r>
    </w:p>
    <w:p w14:paraId="311B7B1A" w14:textId="77777777" w:rsidR="00743989" w:rsidRPr="000A4E6A" w:rsidRDefault="00743989" w:rsidP="00743989">
      <w:pPr>
        <w:numPr>
          <w:ilvl w:val="1"/>
          <w:numId w:val="3"/>
        </w:numPr>
      </w:pPr>
      <w:r>
        <w:t>If not, has a RAP been submitted? _____________</w:t>
      </w:r>
    </w:p>
    <w:p w14:paraId="064E6BAA" w14:textId="77777777" w:rsidR="00743989" w:rsidRDefault="00743989" w:rsidP="00743989"/>
    <w:p w14:paraId="09851CB9" w14:textId="77777777" w:rsidR="00743989" w:rsidRPr="000A4E6A" w:rsidRDefault="00743989" w:rsidP="00743989">
      <w:r w:rsidRPr="000A4E6A">
        <w:t xml:space="preserve">If a property is on any of these State lists without </w:t>
      </w:r>
      <w:r>
        <w:t xml:space="preserve">the site being remediated, or </w:t>
      </w:r>
      <w:r w:rsidRPr="000A4E6A">
        <w:t xml:space="preserve">an approved </w:t>
      </w:r>
      <w:r>
        <w:t xml:space="preserve">or submitted </w:t>
      </w:r>
      <w:r w:rsidRPr="000A4E6A">
        <w:t>RAP, it may not be eligible for an exemption under CEQA.</w:t>
      </w:r>
    </w:p>
    <w:p w14:paraId="52AB8F04" w14:textId="77777777" w:rsidR="00743989" w:rsidRPr="000A4E6A" w:rsidRDefault="00743989" w:rsidP="00743989">
      <w:pPr>
        <w:ind w:left="360"/>
      </w:pPr>
    </w:p>
    <w:p w14:paraId="1A9A73EF" w14:textId="77777777" w:rsidR="00743989" w:rsidRPr="001E5BD1" w:rsidRDefault="00743989" w:rsidP="00743989">
      <w:pPr>
        <w:numPr>
          <w:ilvl w:val="0"/>
          <w:numId w:val="2"/>
        </w:numPr>
        <w:rPr>
          <w:b/>
        </w:rPr>
      </w:pPr>
      <w:r>
        <w:rPr>
          <w:b/>
        </w:rPr>
        <w:t xml:space="preserve">Other – </w:t>
      </w:r>
      <w:r>
        <w:t>Is applicant aware of any other environmental conditions/impacts likely to require further CEQA or NEPA review, such as:</w:t>
      </w:r>
    </w:p>
    <w:p w14:paraId="325E4562" w14:textId="77777777" w:rsidR="00743989" w:rsidRPr="0027028C" w:rsidRDefault="00743989" w:rsidP="00743989">
      <w:pPr>
        <w:numPr>
          <w:ilvl w:val="2"/>
          <w:numId w:val="2"/>
        </w:numPr>
      </w:pPr>
      <w:r>
        <w:t>Sensitive environments, e.g., creeks-wetlands, seismically active areas</w:t>
      </w:r>
      <w:r w:rsidRPr="000A4E6A">
        <w:rPr>
          <w:u w:val="single"/>
        </w:rPr>
        <w:tab/>
      </w:r>
      <w:r w:rsidRPr="000A4E6A">
        <w:rPr>
          <w:u w:val="single"/>
        </w:rPr>
        <w:tab/>
      </w:r>
      <w:r w:rsidRPr="000A4E6A">
        <w:rPr>
          <w:u w:val="single"/>
        </w:rPr>
        <w:fldChar w:fldCharType="begin">
          <w:ffData>
            <w:name w:val="Check12"/>
            <w:enabled/>
            <w:calcOnExit w:val="0"/>
            <w:checkBox>
              <w:sizeAuto/>
              <w:default w:val="0"/>
            </w:checkBox>
          </w:ffData>
        </w:fldChar>
      </w:r>
      <w:r w:rsidRPr="000A4E6A">
        <w:rPr>
          <w:u w:val="single"/>
        </w:rPr>
        <w:instrText xml:space="preserve"> FORMCHECKBOX </w:instrText>
      </w:r>
      <w:r w:rsidR="00803CD2">
        <w:rPr>
          <w:u w:val="single"/>
        </w:rPr>
      </w:r>
      <w:r w:rsidR="00803CD2">
        <w:rPr>
          <w:u w:val="single"/>
        </w:rPr>
        <w:fldChar w:fldCharType="separate"/>
      </w:r>
      <w:r w:rsidRPr="000A4E6A">
        <w:rPr>
          <w:u w:val="single"/>
        </w:rPr>
        <w:fldChar w:fldCharType="end"/>
      </w:r>
    </w:p>
    <w:p w14:paraId="659884DC" w14:textId="77777777" w:rsidR="00743989" w:rsidRPr="0027028C" w:rsidRDefault="00743989" w:rsidP="00743989">
      <w:pPr>
        <w:numPr>
          <w:ilvl w:val="2"/>
          <w:numId w:val="2"/>
        </w:numPr>
      </w:pPr>
      <w:r>
        <w:t xml:space="preserve">Peculiar or unique characteristics of the site, the project, or adjacent uses </w:t>
      </w:r>
      <w:r w:rsidRPr="000A4E6A">
        <w:rPr>
          <w:u w:val="single"/>
        </w:rPr>
        <w:tab/>
      </w:r>
      <w:r w:rsidRPr="000A4E6A">
        <w:rPr>
          <w:u w:val="single"/>
        </w:rPr>
        <w:fldChar w:fldCharType="begin">
          <w:ffData>
            <w:name w:val="Check12"/>
            <w:enabled/>
            <w:calcOnExit w:val="0"/>
            <w:checkBox>
              <w:sizeAuto/>
              <w:default w:val="0"/>
            </w:checkBox>
          </w:ffData>
        </w:fldChar>
      </w:r>
      <w:r w:rsidRPr="000A4E6A">
        <w:rPr>
          <w:u w:val="single"/>
        </w:rPr>
        <w:instrText xml:space="preserve"> FORMCHECKBOX </w:instrText>
      </w:r>
      <w:r w:rsidR="00803CD2">
        <w:rPr>
          <w:u w:val="single"/>
        </w:rPr>
      </w:r>
      <w:r w:rsidR="00803CD2">
        <w:rPr>
          <w:u w:val="single"/>
        </w:rPr>
        <w:fldChar w:fldCharType="separate"/>
      </w:r>
      <w:r w:rsidRPr="000A4E6A">
        <w:rPr>
          <w:u w:val="single"/>
        </w:rPr>
        <w:fldChar w:fldCharType="end"/>
      </w:r>
    </w:p>
    <w:p w14:paraId="272DD7F8" w14:textId="77777777" w:rsidR="00743989" w:rsidRPr="00FB13E4" w:rsidRDefault="00743989" w:rsidP="00743989">
      <w:r>
        <w:t>If yes, please explain, and provide any consultant analysis available.</w:t>
      </w:r>
    </w:p>
    <w:p w14:paraId="24C31C16" w14:textId="77777777" w:rsidR="007D5F04" w:rsidRDefault="007D5F04"/>
    <w:p w14:paraId="6C194D68" w14:textId="77777777" w:rsidR="00743989" w:rsidRDefault="00743989"/>
    <w:p w14:paraId="21BB91AF" w14:textId="77777777" w:rsidR="00743989" w:rsidRDefault="00743989"/>
    <w:p w14:paraId="33D0A6A4" w14:textId="77777777" w:rsidR="00743989" w:rsidRDefault="00743989"/>
    <w:p w14:paraId="6695A0AA" w14:textId="77777777" w:rsidR="00743989" w:rsidRDefault="00743989"/>
    <w:p w14:paraId="154197B7" w14:textId="77777777" w:rsidR="00743989" w:rsidRDefault="00743989"/>
    <w:p w14:paraId="106607EC" w14:textId="77777777" w:rsidR="00743989" w:rsidRDefault="00743989"/>
    <w:p w14:paraId="354AA44E" w14:textId="77777777" w:rsidR="00743989" w:rsidRDefault="00743989"/>
    <w:p w14:paraId="0B8E0753" w14:textId="77777777" w:rsidR="00743989" w:rsidRDefault="00743989"/>
    <w:p w14:paraId="62BBBD76" w14:textId="77777777" w:rsidR="00743989" w:rsidRDefault="00743989"/>
    <w:p w14:paraId="57604E8D" w14:textId="77777777" w:rsidR="00743989" w:rsidRDefault="00743989"/>
    <w:p w14:paraId="24B26CA3" w14:textId="77777777" w:rsidR="00743989" w:rsidRDefault="00743989"/>
    <w:p w14:paraId="6BFE74E4" w14:textId="77777777" w:rsidR="00743989" w:rsidRDefault="00743989"/>
    <w:p w14:paraId="1BD73A34" w14:textId="77777777" w:rsidR="00743989" w:rsidRDefault="00743989"/>
    <w:p w14:paraId="2AE09B9B" w14:textId="77777777" w:rsidR="00743989" w:rsidRDefault="00743989"/>
    <w:p w14:paraId="05BE646D" w14:textId="77777777" w:rsidR="00743989" w:rsidRDefault="00743989"/>
    <w:p w14:paraId="741F5846" w14:textId="77777777" w:rsidR="00743989" w:rsidRDefault="00743989"/>
    <w:p w14:paraId="718A7BD9" w14:textId="77777777" w:rsidR="00743989" w:rsidRDefault="00743989"/>
    <w:p w14:paraId="68BE2EF0" w14:textId="77777777" w:rsidR="00743989" w:rsidRDefault="00743989"/>
    <w:p w14:paraId="631B97CF" w14:textId="77777777" w:rsidR="00743989" w:rsidRPr="00FB59ED" w:rsidRDefault="00743989" w:rsidP="00743989">
      <w:pPr>
        <w:keepNext/>
        <w:suppressAutoHyphens/>
        <w:spacing w:after="120" w:line="288" w:lineRule="auto"/>
        <w:ind w:left="475" w:hanging="475"/>
        <w:jc w:val="center"/>
        <w:outlineLvl w:val="2"/>
        <w:rPr>
          <w:rFonts w:ascii="Lucida Sans" w:hAnsi="Lucida Sans"/>
          <w:b/>
          <w:sz w:val="23"/>
          <w:u w:val="single"/>
        </w:rPr>
      </w:pPr>
      <w:r w:rsidRPr="00FB59ED">
        <w:rPr>
          <w:rFonts w:ascii="Lucida Sans" w:hAnsi="Lucida Sans"/>
          <w:b/>
          <w:sz w:val="23"/>
          <w:u w:val="single"/>
        </w:rPr>
        <w:lastRenderedPageBreak/>
        <w:t>Attachment A</w:t>
      </w:r>
    </w:p>
    <w:p w14:paraId="349BCC3F" w14:textId="77777777" w:rsidR="00743989" w:rsidRPr="00FB59ED" w:rsidRDefault="00743989" w:rsidP="00743989">
      <w:pPr>
        <w:keepNext/>
        <w:suppressAutoHyphens/>
        <w:spacing w:after="120" w:line="288" w:lineRule="auto"/>
        <w:ind w:left="475" w:hanging="475"/>
        <w:outlineLvl w:val="2"/>
        <w:rPr>
          <w:rFonts w:ascii="Lucida Sans" w:hAnsi="Lucida Sans"/>
          <w:b/>
          <w:sz w:val="23"/>
        </w:rPr>
      </w:pPr>
    </w:p>
    <w:p w14:paraId="57F763E1" w14:textId="77777777" w:rsidR="00743989" w:rsidRPr="00FB59ED" w:rsidRDefault="00743989" w:rsidP="00743989">
      <w:pPr>
        <w:keepNext/>
        <w:suppressAutoHyphens/>
        <w:spacing w:after="120" w:line="288" w:lineRule="auto"/>
        <w:outlineLvl w:val="2"/>
        <w:rPr>
          <w:rFonts w:ascii="Lucida Sans" w:hAnsi="Lucida Sans"/>
          <w:b/>
          <w:sz w:val="23"/>
        </w:rPr>
      </w:pPr>
      <w:r w:rsidRPr="00FB59ED">
        <w:rPr>
          <w:rFonts w:ascii="Lucida Sans" w:hAnsi="Lucida Sans"/>
          <w:b/>
          <w:sz w:val="23"/>
        </w:rPr>
        <w:t>CEQA Guidelines §15183.3 - Streamlining for Infill Projects Eligibility</w:t>
      </w:r>
    </w:p>
    <w:p w14:paraId="48BF8428" w14:textId="77777777" w:rsidR="00743989" w:rsidRPr="00FB59ED" w:rsidRDefault="00743989" w:rsidP="00743989">
      <w:pPr>
        <w:suppressAutoHyphens/>
        <w:spacing w:after="200" w:line="288" w:lineRule="auto"/>
        <w:rPr>
          <w:rFonts w:ascii="Lucida Sans" w:hAnsi="Lucida Sans"/>
          <w:sz w:val="20"/>
        </w:rPr>
      </w:pPr>
      <w:r w:rsidRPr="00FB59ED">
        <w:rPr>
          <w:rFonts w:ascii="Lucida Sans" w:hAnsi="Lucida Sans"/>
          <w:sz w:val="20"/>
        </w:rPr>
        <w:t>In January 2013,</w:t>
      </w:r>
      <w:r w:rsidRPr="00FB59ED">
        <w:rPr>
          <w:rFonts w:ascii="Arial" w:hAnsi="Arial" w:cs="Arial"/>
          <w:color w:val="1F497D"/>
          <w:sz w:val="20"/>
        </w:rPr>
        <w:t xml:space="preserve"> </w:t>
      </w:r>
      <w:r w:rsidRPr="00FB59ED">
        <w:rPr>
          <w:rFonts w:ascii="Lucida Sans" w:hAnsi="Lucida Sans"/>
          <w:sz w:val="20"/>
        </w:rPr>
        <w:t xml:space="preserve">the Secretary for the California Natural Resources Agency adopted CEQA Guidelines implementing Public Resources Code section 21094.5 and 21094.5.5 (SB 226—Infill Streamlining). </w:t>
      </w:r>
      <w:proofErr w:type="gramStart"/>
      <w:r w:rsidRPr="00FB59ED">
        <w:rPr>
          <w:rFonts w:ascii="Lucida Sans" w:hAnsi="Lucida Sans"/>
          <w:sz w:val="20"/>
        </w:rPr>
        <w:t>According to</w:t>
      </w:r>
      <w:proofErr w:type="gramEnd"/>
      <w:r w:rsidRPr="00FB59ED">
        <w:rPr>
          <w:rFonts w:ascii="Lucida Sans" w:hAnsi="Lucida Sans"/>
          <w:sz w:val="20"/>
        </w:rPr>
        <w:t xml:space="preserve"> CEQA Guidelines §15183.3(c), CEQA does not apply to the effects of an eligible infill project under two circumstances. </w:t>
      </w:r>
    </w:p>
    <w:p w14:paraId="763DCF11" w14:textId="77777777" w:rsidR="00743989" w:rsidRPr="00FB59ED" w:rsidRDefault="00743989" w:rsidP="00743989">
      <w:pPr>
        <w:suppressAutoHyphens/>
        <w:spacing w:before="120" w:line="288" w:lineRule="auto"/>
        <w:ind w:left="360" w:hanging="360"/>
        <w:rPr>
          <w:rFonts w:ascii="Lucida Sans" w:hAnsi="Lucida Sans"/>
          <w:sz w:val="20"/>
          <w:szCs w:val="22"/>
        </w:rPr>
      </w:pPr>
      <w:r w:rsidRPr="00FB59ED">
        <w:rPr>
          <w:rFonts w:ascii="Lucida Sans" w:hAnsi="Lucida Sans"/>
          <w:sz w:val="20"/>
          <w:szCs w:val="22"/>
        </w:rPr>
        <w:t xml:space="preserve">First, if an effect was addressed as a significant effect in a prior EIR for a planning level decision, then, with some exceptions, that effect need not be analyzed again for an individual infill project even when that effect was not reduced to a less than significant level in the prior EIR. </w:t>
      </w:r>
    </w:p>
    <w:p w14:paraId="3C3DA587" w14:textId="77777777" w:rsidR="00743989" w:rsidRPr="00FB59ED" w:rsidRDefault="00743989" w:rsidP="00743989">
      <w:pPr>
        <w:suppressAutoHyphens/>
        <w:spacing w:before="120" w:after="120" w:line="288" w:lineRule="auto"/>
        <w:ind w:left="360" w:hanging="360"/>
        <w:rPr>
          <w:rFonts w:ascii="Lucida Sans" w:hAnsi="Lucida Sans"/>
          <w:sz w:val="20"/>
          <w:szCs w:val="22"/>
        </w:rPr>
      </w:pPr>
      <w:r w:rsidRPr="00FB59ED">
        <w:rPr>
          <w:rFonts w:ascii="Lucida Sans" w:hAnsi="Lucida Sans"/>
          <w:sz w:val="20"/>
          <w:szCs w:val="22"/>
        </w:rPr>
        <w:t xml:space="preserve">Second, an effect need not be analyzed, even if it was not analyzed in a prior EIR or is more significant than previously analyzed, if uniformly applicable development policies or standards, adopted by the lead agency or a city or county, apply to the infill project and would substantially mitigate that effect. </w:t>
      </w:r>
    </w:p>
    <w:p w14:paraId="24040AAE" w14:textId="77777777" w:rsidR="00743989" w:rsidRPr="00FB59ED" w:rsidRDefault="00743989" w:rsidP="00743989">
      <w:pPr>
        <w:suppressAutoHyphens/>
        <w:spacing w:before="120" w:after="120" w:line="288" w:lineRule="auto"/>
        <w:rPr>
          <w:rFonts w:ascii="Lucida Sans" w:hAnsi="Lucida Sans"/>
          <w:sz w:val="20"/>
          <w:szCs w:val="22"/>
        </w:rPr>
      </w:pPr>
      <w:r w:rsidRPr="00FB59ED">
        <w:rPr>
          <w:rFonts w:ascii="Lucida Sans" w:hAnsi="Lucida Sans"/>
          <w:sz w:val="20"/>
          <w:szCs w:val="22"/>
        </w:rPr>
        <w:t xml:space="preserve">Depending on the effects addressed in the prior EIR and the availability of uniformly applicable development policies or standards that apply to the eligible infill project, streamlining under this section will range from a complete exemption to an obligation to prepare a narrowed, project-specific environmental document. </w:t>
      </w:r>
    </w:p>
    <w:p w14:paraId="4A1A787F" w14:textId="77777777" w:rsidR="00743989" w:rsidRPr="00FB59ED" w:rsidRDefault="00743989" w:rsidP="00743989">
      <w:pPr>
        <w:suppressAutoHyphens/>
        <w:spacing w:after="200" w:line="288" w:lineRule="auto"/>
        <w:rPr>
          <w:rFonts w:ascii="Lucida Sans" w:hAnsi="Lucida Sans"/>
          <w:sz w:val="20"/>
        </w:rPr>
      </w:pPr>
      <w:r w:rsidRPr="00FB59ED">
        <w:rPr>
          <w:rFonts w:ascii="Lucida Sans" w:hAnsi="Lucida Sans"/>
          <w:sz w:val="20"/>
        </w:rPr>
        <w:t>CEQA Guidelines §15183.3 establishes eligibility requirements for projects to qualify as infill projects. To be eligible for the streamlining procedures prescribed in CEQA Guidelines §15183.3, an infill project must meet the requirements shown in Table I-1 below.</w:t>
      </w:r>
    </w:p>
    <w:p w14:paraId="748D7E52" w14:textId="77777777" w:rsidR="00743989" w:rsidRPr="00FB59ED" w:rsidRDefault="00743989" w:rsidP="00743989">
      <w:pPr>
        <w:suppressAutoHyphens/>
        <w:spacing w:after="200" w:line="288" w:lineRule="auto"/>
        <w:rPr>
          <w:rFonts w:ascii="Lucida Sans" w:hAnsi="Lucida Sans"/>
          <w:sz w:val="20"/>
        </w:rPr>
        <w:sectPr w:rsidR="00743989" w:rsidRPr="00FB59ED" w:rsidSect="00352D47">
          <w:footerReference w:type="default" r:id="rId11"/>
          <w:pgSz w:w="12240" w:h="15840"/>
          <w:pgMar w:top="1440" w:right="1440" w:bottom="1440" w:left="1440" w:header="720" w:footer="720" w:gutter="0"/>
          <w:cols w:space="720"/>
          <w:docGrid w:linePitch="360"/>
        </w:sectPr>
      </w:pPr>
    </w:p>
    <w:p w14:paraId="7333F5FD" w14:textId="77777777" w:rsidR="00743989" w:rsidRPr="00FB59ED" w:rsidRDefault="00743989" w:rsidP="00743989">
      <w:pPr>
        <w:suppressAutoHyphens/>
        <w:spacing w:after="200" w:line="288" w:lineRule="auto"/>
        <w:rPr>
          <w:rFonts w:ascii="Lucida Sans" w:hAnsi="Lucida Sans"/>
          <w:sz w:val="20"/>
        </w:rPr>
      </w:pPr>
      <w:r w:rsidRPr="00FB59ED">
        <w:rPr>
          <w:rFonts w:ascii="Lucida Sans" w:hAnsi="Lucida Sans"/>
          <w:sz w:val="20"/>
        </w:rPr>
        <w:lastRenderedPageBreak/>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4"/>
        <w:gridCol w:w="6789"/>
        <w:gridCol w:w="2127"/>
      </w:tblGrid>
      <w:tr w:rsidR="00743989" w:rsidRPr="00FB59ED" w14:paraId="24941952" w14:textId="77777777" w:rsidTr="00D361A0">
        <w:trPr>
          <w:cantSplit/>
          <w:trHeight w:val="135"/>
          <w:tblHeader/>
        </w:trPr>
        <w:tc>
          <w:tcPr>
            <w:tcW w:w="13158" w:type="dxa"/>
            <w:gridSpan w:val="3"/>
            <w:tcBorders>
              <w:top w:val="nil"/>
              <w:left w:val="nil"/>
              <w:bottom w:val="single" w:sz="4" w:space="0" w:color="auto"/>
              <w:right w:val="nil"/>
            </w:tcBorders>
          </w:tcPr>
          <w:p w14:paraId="2B70E1D3" w14:textId="77777777" w:rsidR="00743989" w:rsidRPr="00FB59ED" w:rsidRDefault="00743989" w:rsidP="00D361A0">
            <w:pPr>
              <w:tabs>
                <w:tab w:val="left" w:pos="1260"/>
              </w:tabs>
              <w:suppressAutoHyphens/>
              <w:spacing w:before="60" w:after="60"/>
              <w:ind w:left="1440" w:hanging="1440"/>
              <w:rPr>
                <w:rFonts w:ascii="Lucida Sans" w:hAnsi="Lucida Sans"/>
                <w:b/>
                <w:bCs/>
                <w:smallCaps/>
                <w:sz w:val="20"/>
              </w:rPr>
            </w:pPr>
            <w:r w:rsidRPr="00FB59ED">
              <w:rPr>
                <w:rFonts w:ascii="Lucida Sans" w:hAnsi="Lucida Sans"/>
                <w:b/>
                <w:bCs/>
                <w:smallCaps/>
                <w:sz w:val="20"/>
              </w:rPr>
              <w:t xml:space="preserve">Table I-I </w:t>
            </w:r>
            <w:r w:rsidRPr="00FB59ED">
              <w:rPr>
                <w:rFonts w:ascii="Lucida Sans" w:hAnsi="Lucida Sans"/>
                <w:b/>
                <w:bCs/>
                <w:smallCaps/>
                <w:sz w:val="20"/>
              </w:rPr>
              <w:tab/>
              <w:t xml:space="preserve">Project Infill Eligibility </w:t>
            </w:r>
          </w:p>
        </w:tc>
      </w:tr>
      <w:tr w:rsidR="00743989" w:rsidRPr="00FB59ED" w14:paraId="7DA0EAD1" w14:textId="77777777" w:rsidTr="00D361A0">
        <w:trPr>
          <w:cantSplit/>
          <w:trHeight w:val="287"/>
          <w:tblHeader/>
        </w:trPr>
        <w:tc>
          <w:tcPr>
            <w:tcW w:w="10278" w:type="dxa"/>
            <w:gridSpan w:val="2"/>
            <w:tcBorders>
              <w:top w:val="single" w:sz="4" w:space="0" w:color="auto"/>
              <w:left w:val="nil"/>
              <w:bottom w:val="single" w:sz="4" w:space="0" w:color="auto"/>
              <w:right w:val="nil"/>
            </w:tcBorders>
          </w:tcPr>
          <w:p w14:paraId="609C2512" w14:textId="77777777" w:rsidR="00743989" w:rsidRPr="00FB59ED" w:rsidRDefault="00743989" w:rsidP="00D361A0">
            <w:pPr>
              <w:suppressAutoHyphens/>
              <w:spacing w:before="60" w:after="60"/>
              <w:rPr>
                <w:rFonts w:ascii="Lucida Sans" w:hAnsi="Lucida Sans"/>
                <w:b/>
                <w:sz w:val="18"/>
                <w:szCs w:val="18"/>
              </w:rPr>
            </w:pPr>
            <w:r w:rsidRPr="00FB59ED">
              <w:rPr>
                <w:rFonts w:ascii="Lucida Sans" w:hAnsi="Lucida Sans"/>
                <w:b/>
                <w:sz w:val="18"/>
                <w:szCs w:val="18"/>
              </w:rPr>
              <w:t>Eligibility Criteria</w:t>
            </w:r>
          </w:p>
        </w:tc>
        <w:tc>
          <w:tcPr>
            <w:tcW w:w="2880" w:type="dxa"/>
            <w:tcBorders>
              <w:top w:val="single" w:sz="4" w:space="0" w:color="auto"/>
              <w:left w:val="nil"/>
              <w:bottom w:val="single" w:sz="4" w:space="0" w:color="auto"/>
              <w:right w:val="nil"/>
            </w:tcBorders>
            <w:shd w:val="clear" w:color="auto" w:fill="auto"/>
          </w:tcPr>
          <w:p w14:paraId="61470BEA" w14:textId="77777777" w:rsidR="00743989" w:rsidRPr="00FB59ED" w:rsidRDefault="00743989" w:rsidP="00D361A0">
            <w:pPr>
              <w:suppressAutoHyphens/>
              <w:spacing w:before="60" w:after="60"/>
              <w:jc w:val="center"/>
              <w:rPr>
                <w:rFonts w:ascii="Lucida Sans" w:hAnsi="Lucida Sans"/>
                <w:b/>
                <w:sz w:val="18"/>
                <w:szCs w:val="18"/>
              </w:rPr>
            </w:pPr>
            <w:r w:rsidRPr="00FB59ED">
              <w:rPr>
                <w:rFonts w:ascii="Lucida Sans" w:hAnsi="Lucida Sans"/>
                <w:b/>
                <w:sz w:val="18"/>
                <w:szCs w:val="18"/>
              </w:rPr>
              <w:t>Eligible?</w:t>
            </w:r>
          </w:p>
        </w:tc>
      </w:tr>
      <w:tr w:rsidR="00743989" w:rsidRPr="00FB59ED" w14:paraId="32DAE18C" w14:textId="77777777" w:rsidTr="00D361A0">
        <w:trPr>
          <w:cantSplit/>
          <w:trHeight w:val="917"/>
        </w:trPr>
        <w:tc>
          <w:tcPr>
            <w:tcW w:w="488" w:type="dxa"/>
            <w:tcBorders>
              <w:top w:val="single" w:sz="4" w:space="0" w:color="auto"/>
              <w:left w:val="nil"/>
              <w:bottom w:val="single" w:sz="4" w:space="0" w:color="auto"/>
              <w:right w:val="nil"/>
            </w:tcBorders>
          </w:tcPr>
          <w:p w14:paraId="215D59D3" w14:textId="77777777" w:rsidR="00743989" w:rsidRPr="00FB59ED" w:rsidRDefault="00743989" w:rsidP="00D361A0">
            <w:pPr>
              <w:suppressAutoHyphens/>
              <w:autoSpaceDE w:val="0"/>
              <w:autoSpaceDN w:val="0"/>
              <w:adjustRightInd w:val="0"/>
              <w:spacing w:before="60" w:after="60" w:line="276" w:lineRule="auto"/>
              <w:rPr>
                <w:rFonts w:ascii="Lucida Sans" w:hAnsi="Lucida Sans"/>
                <w:b/>
                <w:color w:val="000000"/>
                <w:sz w:val="18"/>
              </w:rPr>
            </w:pPr>
            <w:r w:rsidRPr="00FB59ED">
              <w:rPr>
                <w:rFonts w:ascii="Lucida Sans" w:hAnsi="Lucida Sans"/>
                <w:b/>
                <w:color w:val="000000"/>
                <w:sz w:val="18"/>
              </w:rPr>
              <w:t>1.</w:t>
            </w:r>
          </w:p>
        </w:tc>
        <w:tc>
          <w:tcPr>
            <w:tcW w:w="9790" w:type="dxa"/>
            <w:tcBorders>
              <w:top w:val="single" w:sz="4" w:space="0" w:color="auto"/>
              <w:left w:val="nil"/>
              <w:bottom w:val="single" w:sz="4" w:space="0" w:color="auto"/>
              <w:right w:val="nil"/>
            </w:tcBorders>
            <w:shd w:val="clear" w:color="auto" w:fill="auto"/>
          </w:tcPr>
          <w:p w14:paraId="154BBDE9" w14:textId="77777777" w:rsidR="00743989" w:rsidRPr="00FB59ED" w:rsidRDefault="00743989" w:rsidP="00D361A0">
            <w:pPr>
              <w:suppressAutoHyphens/>
              <w:autoSpaceDE w:val="0"/>
              <w:autoSpaceDN w:val="0"/>
              <w:adjustRightInd w:val="0"/>
              <w:spacing w:before="60" w:after="60" w:line="276" w:lineRule="auto"/>
              <w:rPr>
                <w:rFonts w:ascii="Lucida Sans" w:hAnsi="Lucida Sans"/>
                <w:color w:val="000000"/>
                <w:sz w:val="18"/>
              </w:rPr>
            </w:pPr>
            <w:proofErr w:type="gramStart"/>
            <w:r w:rsidRPr="00FB59ED">
              <w:rPr>
                <w:rFonts w:ascii="Lucida Sans" w:hAnsi="Lucida Sans"/>
                <w:color w:val="000000"/>
                <w:sz w:val="18"/>
              </w:rPr>
              <w:t>Be located in</w:t>
            </w:r>
            <w:proofErr w:type="gramEnd"/>
            <w:r w:rsidRPr="00FB59ED">
              <w:rPr>
                <w:rFonts w:ascii="Lucida Sans" w:hAnsi="Lucida Sans"/>
                <w:color w:val="000000"/>
                <w:sz w:val="18"/>
              </w:rPr>
              <w:t xml:space="preserve"> an urban area on a site that either has been previously developed or that adjoins existing qualified urban uses on at least seventy-five percent of the site’s perimeter. </w:t>
            </w:r>
            <w:proofErr w:type="gramStart"/>
            <w:r w:rsidRPr="00FB59ED">
              <w:rPr>
                <w:rFonts w:ascii="Lucida Sans" w:hAnsi="Lucida Sans"/>
                <w:color w:val="000000"/>
                <w:sz w:val="18"/>
              </w:rPr>
              <w:t>For the purpose of</w:t>
            </w:r>
            <w:proofErr w:type="gramEnd"/>
            <w:r w:rsidRPr="00FB59ED">
              <w:rPr>
                <w:rFonts w:ascii="Lucida Sans" w:hAnsi="Lucida Sans"/>
                <w:color w:val="000000"/>
                <w:sz w:val="18"/>
              </w:rPr>
              <w:t xml:space="preserve"> this subdivision “adjoin” means the infill project is immediately adjacent to qualified urban uses or is only separated from such uses by an improved right-of-way. (CEQA Guidelines §15183.3(b)(1)) </w:t>
            </w:r>
          </w:p>
        </w:tc>
        <w:tc>
          <w:tcPr>
            <w:tcW w:w="2880" w:type="dxa"/>
            <w:tcBorders>
              <w:top w:val="single" w:sz="4" w:space="0" w:color="auto"/>
              <w:left w:val="nil"/>
              <w:bottom w:val="single" w:sz="4" w:space="0" w:color="auto"/>
              <w:right w:val="nil"/>
            </w:tcBorders>
            <w:shd w:val="clear" w:color="auto" w:fill="auto"/>
          </w:tcPr>
          <w:p w14:paraId="15C14759" w14:textId="77777777" w:rsidR="00743989" w:rsidRPr="00FB59ED" w:rsidRDefault="00743989" w:rsidP="00D361A0">
            <w:pPr>
              <w:suppressAutoHyphens/>
              <w:autoSpaceDE w:val="0"/>
              <w:autoSpaceDN w:val="0"/>
              <w:adjustRightInd w:val="0"/>
              <w:spacing w:before="60" w:after="60" w:line="276" w:lineRule="auto"/>
              <w:jc w:val="center"/>
              <w:rPr>
                <w:rFonts w:ascii="Lucida Sans" w:hAnsi="Lucida Sans"/>
                <w:color w:val="000000"/>
                <w:sz w:val="18"/>
              </w:rPr>
            </w:pPr>
            <w:r w:rsidRPr="00FB59ED">
              <w:rPr>
                <w:rFonts w:ascii="Lucida Sans" w:hAnsi="Lucida Sans"/>
                <w:color w:val="000000"/>
                <w:sz w:val="18"/>
              </w:rPr>
              <w:t>Yes</w:t>
            </w:r>
          </w:p>
        </w:tc>
      </w:tr>
      <w:tr w:rsidR="00743989" w:rsidRPr="00FB59ED" w14:paraId="00CA596D" w14:textId="77777777" w:rsidTr="00D361A0">
        <w:trPr>
          <w:cantSplit/>
        </w:trPr>
        <w:tc>
          <w:tcPr>
            <w:tcW w:w="488" w:type="dxa"/>
            <w:tcBorders>
              <w:top w:val="single" w:sz="4" w:space="0" w:color="auto"/>
              <w:left w:val="nil"/>
              <w:bottom w:val="dotted" w:sz="4" w:space="0" w:color="auto"/>
              <w:right w:val="nil"/>
            </w:tcBorders>
          </w:tcPr>
          <w:p w14:paraId="120B84E4" w14:textId="77777777" w:rsidR="00743989" w:rsidRPr="00FB59ED" w:rsidRDefault="00743989" w:rsidP="00D361A0">
            <w:pPr>
              <w:suppressAutoHyphens/>
              <w:autoSpaceDE w:val="0"/>
              <w:autoSpaceDN w:val="0"/>
              <w:adjustRightInd w:val="0"/>
              <w:spacing w:before="60" w:after="60" w:line="276" w:lineRule="auto"/>
              <w:rPr>
                <w:rFonts w:ascii="Lucida Sans" w:hAnsi="Lucida Sans"/>
                <w:b/>
                <w:color w:val="000000"/>
                <w:sz w:val="18"/>
              </w:rPr>
            </w:pPr>
            <w:r w:rsidRPr="00FB59ED">
              <w:rPr>
                <w:rFonts w:ascii="Lucida Sans" w:hAnsi="Lucida Sans"/>
                <w:b/>
                <w:color w:val="000000"/>
                <w:sz w:val="18"/>
              </w:rPr>
              <w:t>2.</w:t>
            </w:r>
          </w:p>
        </w:tc>
        <w:tc>
          <w:tcPr>
            <w:tcW w:w="9790" w:type="dxa"/>
            <w:tcBorders>
              <w:top w:val="single" w:sz="4" w:space="0" w:color="auto"/>
              <w:left w:val="nil"/>
              <w:bottom w:val="dotted" w:sz="4" w:space="0" w:color="auto"/>
              <w:right w:val="nil"/>
            </w:tcBorders>
            <w:shd w:val="clear" w:color="auto" w:fill="auto"/>
          </w:tcPr>
          <w:p w14:paraId="5EF5C7D0" w14:textId="77777777" w:rsidR="00743989" w:rsidRPr="00FB59ED" w:rsidRDefault="00743989" w:rsidP="00D361A0">
            <w:pPr>
              <w:suppressAutoHyphens/>
              <w:autoSpaceDE w:val="0"/>
              <w:autoSpaceDN w:val="0"/>
              <w:adjustRightInd w:val="0"/>
              <w:spacing w:before="60" w:after="60" w:line="276" w:lineRule="auto"/>
              <w:rPr>
                <w:rFonts w:ascii="Lucida Sans" w:hAnsi="Lucida Sans"/>
                <w:color w:val="000000"/>
                <w:sz w:val="18"/>
              </w:rPr>
            </w:pPr>
            <w:r w:rsidRPr="00FB59ED">
              <w:rPr>
                <w:rFonts w:ascii="Lucida Sans" w:hAnsi="Lucida Sans"/>
                <w:color w:val="000000"/>
                <w:sz w:val="18"/>
              </w:rPr>
              <w:t>Satisfy the performance Standards provided in Appendix M (CEQA Guidelines §15183.3(b)(2)) as presented in 2a and 2b below:</w:t>
            </w:r>
          </w:p>
        </w:tc>
        <w:tc>
          <w:tcPr>
            <w:tcW w:w="2880" w:type="dxa"/>
            <w:tcBorders>
              <w:top w:val="single" w:sz="4" w:space="0" w:color="auto"/>
              <w:left w:val="nil"/>
              <w:bottom w:val="dotted" w:sz="4" w:space="0" w:color="auto"/>
              <w:right w:val="nil"/>
            </w:tcBorders>
            <w:shd w:val="clear" w:color="auto" w:fill="auto"/>
          </w:tcPr>
          <w:p w14:paraId="15FF5E1E" w14:textId="77777777" w:rsidR="00743989" w:rsidRPr="00FB59ED" w:rsidRDefault="00743989" w:rsidP="00D361A0">
            <w:pPr>
              <w:suppressAutoHyphens/>
              <w:autoSpaceDE w:val="0"/>
              <w:autoSpaceDN w:val="0"/>
              <w:adjustRightInd w:val="0"/>
              <w:spacing w:before="60" w:after="60" w:line="276" w:lineRule="auto"/>
              <w:jc w:val="center"/>
              <w:rPr>
                <w:rFonts w:ascii="Lucida Sans" w:hAnsi="Lucida Sans"/>
                <w:color w:val="000000"/>
                <w:sz w:val="18"/>
              </w:rPr>
            </w:pPr>
          </w:p>
        </w:tc>
      </w:tr>
      <w:tr w:rsidR="00743989" w:rsidRPr="00FB59ED" w14:paraId="499E6831" w14:textId="77777777" w:rsidTr="00D361A0">
        <w:trPr>
          <w:cantSplit/>
          <w:trHeight w:val="98"/>
        </w:trPr>
        <w:tc>
          <w:tcPr>
            <w:tcW w:w="488" w:type="dxa"/>
            <w:tcBorders>
              <w:top w:val="dotted" w:sz="4" w:space="0" w:color="auto"/>
              <w:left w:val="nil"/>
              <w:bottom w:val="dotted" w:sz="4" w:space="0" w:color="auto"/>
              <w:right w:val="nil"/>
            </w:tcBorders>
          </w:tcPr>
          <w:p w14:paraId="6DD56ABC" w14:textId="77777777" w:rsidR="00743989" w:rsidRPr="00FB59ED" w:rsidRDefault="00743989" w:rsidP="00D361A0">
            <w:pPr>
              <w:suppressAutoHyphens/>
              <w:autoSpaceDE w:val="0"/>
              <w:autoSpaceDN w:val="0"/>
              <w:adjustRightInd w:val="0"/>
              <w:spacing w:before="60" w:after="60" w:line="276" w:lineRule="auto"/>
              <w:rPr>
                <w:rFonts w:ascii="Lucida Sans" w:hAnsi="Lucida Sans"/>
                <w:i/>
                <w:color w:val="000000"/>
                <w:sz w:val="18"/>
              </w:rPr>
            </w:pPr>
          </w:p>
        </w:tc>
        <w:tc>
          <w:tcPr>
            <w:tcW w:w="9790" w:type="dxa"/>
            <w:tcBorders>
              <w:top w:val="dotted" w:sz="4" w:space="0" w:color="auto"/>
              <w:left w:val="nil"/>
              <w:bottom w:val="dotted" w:sz="4" w:space="0" w:color="auto"/>
              <w:right w:val="nil"/>
            </w:tcBorders>
            <w:shd w:val="clear" w:color="auto" w:fill="auto"/>
          </w:tcPr>
          <w:p w14:paraId="2F6C9AB8" w14:textId="77777777" w:rsidR="00743989" w:rsidRPr="00FB59ED" w:rsidRDefault="00743989" w:rsidP="00D361A0">
            <w:pPr>
              <w:suppressAutoHyphens/>
              <w:autoSpaceDE w:val="0"/>
              <w:autoSpaceDN w:val="0"/>
              <w:adjustRightInd w:val="0"/>
              <w:spacing w:before="60" w:after="60" w:line="276" w:lineRule="auto"/>
              <w:rPr>
                <w:rFonts w:ascii="Lucida Sans" w:hAnsi="Lucida Sans"/>
                <w:color w:val="000000"/>
                <w:sz w:val="18"/>
              </w:rPr>
            </w:pPr>
            <w:r w:rsidRPr="00FB59ED">
              <w:rPr>
                <w:rFonts w:ascii="Lucida Sans" w:hAnsi="Lucida Sans"/>
                <w:color w:val="000000"/>
                <w:sz w:val="18"/>
              </w:rPr>
              <w:t xml:space="preserve">2a. </w:t>
            </w:r>
            <w:r w:rsidRPr="00FB59ED">
              <w:rPr>
                <w:rFonts w:ascii="Lucida Sans" w:hAnsi="Lucida Sans"/>
                <w:i/>
                <w:color w:val="000000"/>
                <w:sz w:val="18"/>
              </w:rPr>
              <w:t>Performance Standards Related to Project Design.</w:t>
            </w:r>
            <w:r w:rsidRPr="00FB59ED">
              <w:rPr>
                <w:rFonts w:ascii="Lucida Sans" w:hAnsi="Lucida Sans"/>
                <w:color w:val="000000"/>
                <w:sz w:val="18"/>
              </w:rPr>
              <w:t xml:space="preserve"> All projects must implement </w:t>
            </w:r>
            <w:proofErr w:type="gramStart"/>
            <w:r w:rsidRPr="00FB59ED">
              <w:rPr>
                <w:rFonts w:ascii="Lucida Sans" w:hAnsi="Lucida Sans"/>
                <w:b/>
                <w:color w:val="000000"/>
                <w:sz w:val="18"/>
                <w:u w:val="single"/>
              </w:rPr>
              <w:t>all</w:t>
            </w:r>
            <w:r w:rsidRPr="00FB59ED">
              <w:rPr>
                <w:rFonts w:ascii="Lucida Sans" w:hAnsi="Lucida Sans"/>
                <w:color w:val="000000"/>
                <w:sz w:val="18"/>
              </w:rPr>
              <w:t xml:space="preserve"> of</w:t>
            </w:r>
            <w:proofErr w:type="gramEnd"/>
            <w:r w:rsidRPr="00FB59ED">
              <w:rPr>
                <w:rFonts w:ascii="Lucida Sans" w:hAnsi="Lucida Sans"/>
                <w:color w:val="000000"/>
                <w:sz w:val="18"/>
              </w:rPr>
              <w:t xml:space="preserve"> the following: </w:t>
            </w:r>
          </w:p>
        </w:tc>
        <w:tc>
          <w:tcPr>
            <w:tcW w:w="2880" w:type="dxa"/>
            <w:tcBorders>
              <w:top w:val="dotted" w:sz="4" w:space="0" w:color="auto"/>
              <w:left w:val="nil"/>
              <w:bottom w:val="dotted" w:sz="4" w:space="0" w:color="auto"/>
              <w:right w:val="nil"/>
            </w:tcBorders>
            <w:shd w:val="clear" w:color="auto" w:fill="auto"/>
          </w:tcPr>
          <w:p w14:paraId="747863ED" w14:textId="77777777" w:rsidR="00743989" w:rsidRPr="00FB59ED" w:rsidRDefault="00743989" w:rsidP="00D361A0">
            <w:pPr>
              <w:suppressAutoHyphens/>
              <w:autoSpaceDE w:val="0"/>
              <w:autoSpaceDN w:val="0"/>
              <w:adjustRightInd w:val="0"/>
              <w:spacing w:before="60" w:after="60" w:line="276" w:lineRule="auto"/>
              <w:jc w:val="center"/>
              <w:rPr>
                <w:rFonts w:ascii="Lucida Sans" w:hAnsi="Lucida Sans"/>
                <w:color w:val="000000"/>
                <w:sz w:val="18"/>
              </w:rPr>
            </w:pPr>
          </w:p>
        </w:tc>
      </w:tr>
      <w:tr w:rsidR="00743989" w:rsidRPr="00FB59ED" w14:paraId="71D13B60" w14:textId="77777777" w:rsidTr="00D361A0">
        <w:trPr>
          <w:cantSplit/>
          <w:trHeight w:val="98"/>
        </w:trPr>
        <w:tc>
          <w:tcPr>
            <w:tcW w:w="488" w:type="dxa"/>
            <w:tcBorders>
              <w:top w:val="dotted" w:sz="4" w:space="0" w:color="auto"/>
              <w:left w:val="nil"/>
              <w:bottom w:val="dotted" w:sz="4" w:space="0" w:color="auto"/>
              <w:right w:val="nil"/>
            </w:tcBorders>
          </w:tcPr>
          <w:p w14:paraId="5D100B9F" w14:textId="77777777" w:rsidR="00743989" w:rsidRPr="00FB59ED" w:rsidRDefault="00743989" w:rsidP="00D361A0">
            <w:pPr>
              <w:suppressAutoHyphens/>
              <w:autoSpaceDE w:val="0"/>
              <w:autoSpaceDN w:val="0"/>
              <w:adjustRightInd w:val="0"/>
              <w:spacing w:before="60" w:after="60" w:line="276" w:lineRule="auto"/>
              <w:ind w:left="360"/>
              <w:rPr>
                <w:rFonts w:ascii="Lucida Sans" w:hAnsi="Lucida Sans"/>
                <w:i/>
                <w:color w:val="000000"/>
                <w:sz w:val="18"/>
              </w:rPr>
            </w:pPr>
          </w:p>
        </w:tc>
        <w:tc>
          <w:tcPr>
            <w:tcW w:w="9790" w:type="dxa"/>
            <w:tcBorders>
              <w:top w:val="dotted" w:sz="4" w:space="0" w:color="auto"/>
              <w:left w:val="nil"/>
              <w:bottom w:val="dotted" w:sz="4" w:space="0" w:color="auto"/>
              <w:right w:val="nil"/>
            </w:tcBorders>
            <w:shd w:val="clear" w:color="auto" w:fill="auto"/>
          </w:tcPr>
          <w:p w14:paraId="4B9ABB36" w14:textId="77777777" w:rsidR="00743989" w:rsidRPr="00FB59ED" w:rsidRDefault="00743989" w:rsidP="00D361A0">
            <w:pPr>
              <w:suppressAutoHyphens/>
              <w:autoSpaceDE w:val="0"/>
              <w:autoSpaceDN w:val="0"/>
              <w:adjustRightInd w:val="0"/>
              <w:spacing w:before="60" w:after="60" w:line="276" w:lineRule="auto"/>
              <w:ind w:left="232"/>
              <w:rPr>
                <w:rFonts w:ascii="Lucida Sans" w:hAnsi="Lucida Sans"/>
                <w:b/>
                <w:color w:val="000000"/>
                <w:sz w:val="18"/>
              </w:rPr>
            </w:pPr>
            <w:r w:rsidRPr="00FB59ED">
              <w:rPr>
                <w:rFonts w:ascii="Lucida Sans" w:hAnsi="Lucida Sans"/>
                <w:b/>
                <w:color w:val="000000"/>
                <w:sz w:val="18"/>
              </w:rPr>
              <w:t>Renewable Energy.</w:t>
            </w:r>
          </w:p>
          <w:p w14:paraId="0A0CE867" w14:textId="77777777" w:rsidR="00743989" w:rsidRPr="00FB59ED" w:rsidRDefault="00743989" w:rsidP="00D361A0">
            <w:pPr>
              <w:suppressAutoHyphens/>
              <w:autoSpaceDE w:val="0"/>
              <w:autoSpaceDN w:val="0"/>
              <w:adjustRightInd w:val="0"/>
              <w:spacing w:before="60" w:after="60" w:line="276" w:lineRule="auto"/>
              <w:ind w:left="232"/>
              <w:rPr>
                <w:rFonts w:ascii="Lucida Sans" w:hAnsi="Lucida Sans"/>
                <w:color w:val="000000"/>
                <w:sz w:val="18"/>
              </w:rPr>
            </w:pPr>
            <w:r w:rsidRPr="00FB59ED">
              <w:rPr>
                <w:rFonts w:ascii="Lucida Sans" w:hAnsi="Lucida Sans"/>
                <w:i/>
                <w:color w:val="000000"/>
                <w:sz w:val="18"/>
              </w:rPr>
              <w:t>Non-Residential Projects.</w:t>
            </w:r>
            <w:r w:rsidRPr="00FB59ED">
              <w:rPr>
                <w:rFonts w:ascii="Lucida Sans" w:hAnsi="Lucida Sans"/>
                <w:color w:val="000000"/>
                <w:sz w:val="18"/>
              </w:rPr>
              <w:t xml:space="preserve"> All non-residential projects shall include on-site renewable power generation, such as solar photovoltaic, solar thermal and wind power generation, or clean back-up power supplies, where feasible.</w:t>
            </w:r>
          </w:p>
          <w:p w14:paraId="2C3C6C78" w14:textId="77777777" w:rsidR="00743989" w:rsidRPr="00FB59ED" w:rsidRDefault="00743989" w:rsidP="00D361A0">
            <w:pPr>
              <w:suppressAutoHyphens/>
              <w:autoSpaceDE w:val="0"/>
              <w:autoSpaceDN w:val="0"/>
              <w:adjustRightInd w:val="0"/>
              <w:spacing w:before="60" w:after="60" w:line="276" w:lineRule="auto"/>
              <w:ind w:left="232"/>
              <w:rPr>
                <w:rFonts w:ascii="Lucida Sans" w:hAnsi="Lucida Sans"/>
                <w:color w:val="000000"/>
                <w:sz w:val="18"/>
              </w:rPr>
            </w:pPr>
            <w:r w:rsidRPr="00FB59ED">
              <w:rPr>
                <w:rFonts w:ascii="Lucida Sans" w:hAnsi="Lucida Sans"/>
                <w:i/>
                <w:color w:val="000000"/>
                <w:sz w:val="18"/>
              </w:rPr>
              <w:t>Residential Projects.</w:t>
            </w:r>
            <w:r w:rsidRPr="00FB59ED">
              <w:rPr>
                <w:rFonts w:ascii="Lucida Sans" w:hAnsi="Lucida Sans"/>
                <w:color w:val="000000"/>
                <w:sz w:val="18"/>
              </w:rPr>
              <w:t xml:space="preserve"> Residential projects are also encouraged to include such on site renewable power generation.</w:t>
            </w:r>
          </w:p>
        </w:tc>
        <w:tc>
          <w:tcPr>
            <w:tcW w:w="2880" w:type="dxa"/>
            <w:tcBorders>
              <w:top w:val="dotted" w:sz="4" w:space="0" w:color="auto"/>
              <w:left w:val="nil"/>
              <w:bottom w:val="dotted" w:sz="4" w:space="0" w:color="auto"/>
              <w:right w:val="nil"/>
            </w:tcBorders>
            <w:shd w:val="clear" w:color="auto" w:fill="auto"/>
          </w:tcPr>
          <w:p w14:paraId="251A0226" w14:textId="77777777" w:rsidR="00743989" w:rsidRPr="00FB59ED" w:rsidRDefault="00743989" w:rsidP="00D361A0">
            <w:pPr>
              <w:suppressAutoHyphens/>
              <w:autoSpaceDE w:val="0"/>
              <w:autoSpaceDN w:val="0"/>
              <w:adjustRightInd w:val="0"/>
              <w:spacing w:before="60" w:after="60" w:line="276" w:lineRule="auto"/>
              <w:jc w:val="center"/>
              <w:rPr>
                <w:rFonts w:ascii="Lucida Sans" w:hAnsi="Lucida Sans"/>
                <w:color w:val="000000"/>
                <w:sz w:val="18"/>
              </w:rPr>
            </w:pPr>
            <w:r w:rsidRPr="00FB59ED">
              <w:rPr>
                <w:rFonts w:ascii="Lucida Sans" w:hAnsi="Lucida Sans"/>
                <w:color w:val="000000"/>
                <w:sz w:val="18"/>
              </w:rPr>
              <w:t>Yes</w:t>
            </w:r>
          </w:p>
        </w:tc>
      </w:tr>
      <w:tr w:rsidR="00743989" w:rsidRPr="00FB59ED" w14:paraId="6E699539" w14:textId="77777777" w:rsidTr="00D361A0">
        <w:trPr>
          <w:cantSplit/>
        </w:trPr>
        <w:tc>
          <w:tcPr>
            <w:tcW w:w="488" w:type="dxa"/>
            <w:tcBorders>
              <w:top w:val="dotted" w:sz="4" w:space="0" w:color="auto"/>
              <w:left w:val="nil"/>
              <w:bottom w:val="dotted" w:sz="4" w:space="0" w:color="auto"/>
              <w:right w:val="nil"/>
            </w:tcBorders>
          </w:tcPr>
          <w:p w14:paraId="02DFCE56" w14:textId="77777777" w:rsidR="00743989" w:rsidRPr="00FB59ED" w:rsidRDefault="00743989" w:rsidP="00D361A0">
            <w:pPr>
              <w:suppressAutoHyphens/>
              <w:autoSpaceDE w:val="0"/>
              <w:autoSpaceDN w:val="0"/>
              <w:adjustRightInd w:val="0"/>
              <w:spacing w:before="60" w:after="60" w:line="276" w:lineRule="auto"/>
              <w:ind w:left="360"/>
              <w:rPr>
                <w:rFonts w:ascii="Lucida Sans" w:hAnsi="Lucida Sans"/>
                <w:i/>
                <w:color w:val="000000"/>
                <w:sz w:val="18"/>
              </w:rPr>
            </w:pPr>
          </w:p>
        </w:tc>
        <w:tc>
          <w:tcPr>
            <w:tcW w:w="9790" w:type="dxa"/>
            <w:tcBorders>
              <w:top w:val="dotted" w:sz="4" w:space="0" w:color="auto"/>
              <w:left w:val="nil"/>
              <w:bottom w:val="dotted" w:sz="4" w:space="0" w:color="auto"/>
              <w:right w:val="nil"/>
            </w:tcBorders>
            <w:shd w:val="clear" w:color="auto" w:fill="auto"/>
          </w:tcPr>
          <w:p w14:paraId="5EFB617A" w14:textId="77777777" w:rsidR="00743989" w:rsidRPr="00FB59ED" w:rsidRDefault="00743989" w:rsidP="00D361A0">
            <w:pPr>
              <w:suppressAutoHyphens/>
              <w:autoSpaceDE w:val="0"/>
              <w:autoSpaceDN w:val="0"/>
              <w:adjustRightInd w:val="0"/>
              <w:spacing w:before="60" w:after="60" w:line="276" w:lineRule="auto"/>
              <w:ind w:left="232"/>
              <w:rPr>
                <w:rFonts w:ascii="Lucida Sans" w:hAnsi="Lucida Sans"/>
                <w:b/>
                <w:color w:val="000000"/>
                <w:sz w:val="18"/>
              </w:rPr>
            </w:pPr>
            <w:r w:rsidRPr="00FB59ED">
              <w:rPr>
                <w:rFonts w:ascii="Lucida Sans" w:hAnsi="Lucida Sans"/>
                <w:b/>
                <w:color w:val="000000"/>
                <w:sz w:val="18"/>
              </w:rPr>
              <w:t xml:space="preserve">Soil and Water Remediation. </w:t>
            </w:r>
          </w:p>
          <w:p w14:paraId="6CD773EA" w14:textId="77777777" w:rsidR="00743989" w:rsidRPr="00FB59ED" w:rsidRDefault="00743989" w:rsidP="00D361A0">
            <w:pPr>
              <w:suppressAutoHyphens/>
              <w:autoSpaceDE w:val="0"/>
              <w:autoSpaceDN w:val="0"/>
              <w:adjustRightInd w:val="0"/>
              <w:spacing w:before="60" w:after="60" w:line="276" w:lineRule="auto"/>
              <w:ind w:left="232"/>
              <w:rPr>
                <w:rFonts w:ascii="Lucida Sans" w:hAnsi="Lucida Sans"/>
                <w:color w:val="000000"/>
                <w:sz w:val="18"/>
              </w:rPr>
            </w:pPr>
            <w:r w:rsidRPr="00FB59ED">
              <w:rPr>
                <w:rFonts w:ascii="Lucida Sans" w:hAnsi="Lucida Sans"/>
                <w:color w:val="000000"/>
                <w:sz w:val="18"/>
              </w:rPr>
              <w:t>If the project site is included on any list compiled pursuant to §65962.5 of the Government Code, the project shall document how it has remediated the site, if remediation is completed. Alternatively, the project shall implement the recommendations provided in a preliminary endangerment assessment or comparable document that identifies remediation appropriate for the site.</w:t>
            </w:r>
          </w:p>
        </w:tc>
        <w:tc>
          <w:tcPr>
            <w:tcW w:w="2880" w:type="dxa"/>
            <w:tcBorders>
              <w:top w:val="dotted" w:sz="4" w:space="0" w:color="auto"/>
              <w:left w:val="nil"/>
              <w:bottom w:val="dotted" w:sz="4" w:space="0" w:color="auto"/>
              <w:right w:val="nil"/>
            </w:tcBorders>
            <w:shd w:val="clear" w:color="auto" w:fill="auto"/>
          </w:tcPr>
          <w:p w14:paraId="2086CCC0" w14:textId="77777777" w:rsidR="00743989" w:rsidRPr="00FB59ED" w:rsidRDefault="00743989" w:rsidP="00D361A0">
            <w:pPr>
              <w:suppressAutoHyphens/>
              <w:autoSpaceDE w:val="0"/>
              <w:autoSpaceDN w:val="0"/>
              <w:adjustRightInd w:val="0"/>
              <w:spacing w:before="60" w:after="60" w:line="276" w:lineRule="auto"/>
              <w:jc w:val="center"/>
              <w:rPr>
                <w:rFonts w:ascii="Lucida Sans" w:hAnsi="Lucida Sans"/>
                <w:color w:val="000000"/>
                <w:sz w:val="18"/>
              </w:rPr>
            </w:pPr>
            <w:r w:rsidRPr="00FB59ED">
              <w:rPr>
                <w:rFonts w:ascii="Lucida Sans" w:hAnsi="Lucida Sans"/>
                <w:color w:val="000000"/>
                <w:sz w:val="18"/>
              </w:rPr>
              <w:t>Yes</w:t>
            </w:r>
          </w:p>
        </w:tc>
      </w:tr>
      <w:tr w:rsidR="00743989" w:rsidRPr="00FB59ED" w14:paraId="66523D6D" w14:textId="77777777" w:rsidTr="00D361A0">
        <w:trPr>
          <w:cantSplit/>
        </w:trPr>
        <w:tc>
          <w:tcPr>
            <w:tcW w:w="488" w:type="dxa"/>
            <w:tcBorders>
              <w:top w:val="dotted" w:sz="4" w:space="0" w:color="auto"/>
              <w:left w:val="nil"/>
              <w:bottom w:val="single" w:sz="4" w:space="0" w:color="auto"/>
              <w:right w:val="nil"/>
            </w:tcBorders>
          </w:tcPr>
          <w:p w14:paraId="638EA3BE" w14:textId="77777777" w:rsidR="00743989" w:rsidRPr="00FB59ED" w:rsidRDefault="00743989" w:rsidP="00D361A0">
            <w:pPr>
              <w:suppressAutoHyphens/>
              <w:autoSpaceDE w:val="0"/>
              <w:autoSpaceDN w:val="0"/>
              <w:adjustRightInd w:val="0"/>
              <w:spacing w:before="60" w:after="60" w:line="276" w:lineRule="auto"/>
              <w:rPr>
                <w:rFonts w:ascii="Lucida Sans" w:hAnsi="Lucida Sans"/>
                <w:color w:val="000000"/>
                <w:sz w:val="18"/>
              </w:rPr>
            </w:pPr>
          </w:p>
        </w:tc>
        <w:tc>
          <w:tcPr>
            <w:tcW w:w="9790" w:type="dxa"/>
            <w:tcBorders>
              <w:top w:val="dotted" w:sz="4" w:space="0" w:color="auto"/>
              <w:left w:val="nil"/>
              <w:bottom w:val="single" w:sz="4" w:space="0" w:color="auto"/>
              <w:right w:val="nil"/>
            </w:tcBorders>
            <w:shd w:val="clear" w:color="auto" w:fill="auto"/>
          </w:tcPr>
          <w:p w14:paraId="722C898F" w14:textId="77777777" w:rsidR="00743989" w:rsidRPr="00FB59ED" w:rsidRDefault="00743989" w:rsidP="00D361A0">
            <w:pPr>
              <w:suppressAutoHyphens/>
              <w:autoSpaceDE w:val="0"/>
              <w:autoSpaceDN w:val="0"/>
              <w:adjustRightInd w:val="0"/>
              <w:spacing w:before="60" w:after="60" w:line="276" w:lineRule="auto"/>
              <w:ind w:left="232"/>
              <w:rPr>
                <w:rFonts w:ascii="Lucida Sans" w:hAnsi="Lucida Sans"/>
                <w:b/>
                <w:color w:val="000000"/>
                <w:sz w:val="18"/>
              </w:rPr>
            </w:pPr>
            <w:r w:rsidRPr="00FB59ED">
              <w:rPr>
                <w:rFonts w:ascii="Lucida Sans" w:hAnsi="Lucida Sans"/>
                <w:b/>
                <w:color w:val="000000"/>
                <w:sz w:val="18"/>
              </w:rPr>
              <w:t xml:space="preserve">Residential Units Near High-Volume Roadways and Stationary Sources. </w:t>
            </w:r>
          </w:p>
          <w:p w14:paraId="31A6357A" w14:textId="77777777" w:rsidR="00743989" w:rsidRPr="00FB59ED" w:rsidRDefault="00743989" w:rsidP="00D361A0">
            <w:pPr>
              <w:suppressAutoHyphens/>
              <w:autoSpaceDE w:val="0"/>
              <w:autoSpaceDN w:val="0"/>
              <w:adjustRightInd w:val="0"/>
              <w:spacing w:before="60" w:after="60" w:line="276" w:lineRule="auto"/>
              <w:ind w:left="232"/>
              <w:rPr>
                <w:rFonts w:ascii="Lucida Sans" w:hAnsi="Lucida Sans"/>
                <w:color w:val="000000"/>
                <w:sz w:val="18"/>
              </w:rPr>
            </w:pPr>
            <w:r w:rsidRPr="00FB59ED">
              <w:rPr>
                <w:rFonts w:ascii="Lucida Sans" w:hAnsi="Lucida Sans"/>
                <w:color w:val="000000"/>
                <w:sz w:val="18"/>
              </w:rPr>
              <w:t xml:space="preserve">If a project includes residential units located within 500 feet, or other distance determined to be appropriate by the local agency or air district based on local conditions, of a </w:t>
            </w:r>
            <w:proofErr w:type="gramStart"/>
            <w:r w:rsidRPr="00FB59ED">
              <w:rPr>
                <w:rFonts w:ascii="Lucida Sans" w:hAnsi="Lucida Sans"/>
                <w:color w:val="000000"/>
                <w:sz w:val="18"/>
              </w:rPr>
              <w:t>high volume</w:t>
            </w:r>
            <w:proofErr w:type="gramEnd"/>
            <w:r w:rsidRPr="00FB59ED">
              <w:rPr>
                <w:rFonts w:ascii="Lucida Sans" w:hAnsi="Lucida Sans"/>
                <w:color w:val="000000"/>
                <w:sz w:val="18"/>
              </w:rPr>
              <w:t xml:space="preserve"> roadway or other significant sources of air pollution, the project shall comply with any policies and standards identified in the local general plan, specific plan, zoning code or community risk reduction plan for the protection of public health from such sources of air pollution.</w:t>
            </w:r>
          </w:p>
          <w:p w14:paraId="505E4CFB" w14:textId="77777777" w:rsidR="00743989" w:rsidRPr="00FB59ED" w:rsidRDefault="00743989" w:rsidP="00D361A0">
            <w:pPr>
              <w:suppressAutoHyphens/>
              <w:autoSpaceDE w:val="0"/>
              <w:autoSpaceDN w:val="0"/>
              <w:adjustRightInd w:val="0"/>
              <w:spacing w:before="60" w:after="60" w:line="276" w:lineRule="auto"/>
              <w:ind w:left="232"/>
              <w:rPr>
                <w:rFonts w:ascii="Lucida Sans" w:hAnsi="Lucida Sans"/>
                <w:color w:val="000000"/>
                <w:sz w:val="18"/>
              </w:rPr>
            </w:pPr>
            <w:r w:rsidRPr="00FB59ED">
              <w:rPr>
                <w:rFonts w:ascii="Lucida Sans" w:hAnsi="Lucida Sans"/>
                <w:color w:val="000000"/>
                <w:sz w:val="18"/>
              </w:rPr>
              <w:t>If the local government has not adopted such plans or policies, the project shall include measures, such as enhanced air filtration and project design, that the lead agency finds, based on substantial evidence, will promote the protection of public health from sources of air pollution. Those measures may include, among others, the recommendations of the California Air Resources Board, air districts, and the California Air Pollution Control Officers Association.</w:t>
            </w:r>
          </w:p>
        </w:tc>
        <w:tc>
          <w:tcPr>
            <w:tcW w:w="2880" w:type="dxa"/>
            <w:tcBorders>
              <w:top w:val="dotted" w:sz="4" w:space="0" w:color="auto"/>
              <w:left w:val="nil"/>
              <w:bottom w:val="single" w:sz="4" w:space="0" w:color="auto"/>
              <w:right w:val="nil"/>
            </w:tcBorders>
            <w:shd w:val="clear" w:color="auto" w:fill="auto"/>
          </w:tcPr>
          <w:p w14:paraId="4CBC13D9" w14:textId="77777777" w:rsidR="00743989" w:rsidRPr="00FB59ED" w:rsidRDefault="00743989" w:rsidP="00D361A0">
            <w:pPr>
              <w:suppressAutoHyphens/>
              <w:autoSpaceDE w:val="0"/>
              <w:autoSpaceDN w:val="0"/>
              <w:adjustRightInd w:val="0"/>
              <w:spacing w:before="60" w:after="60" w:line="276" w:lineRule="auto"/>
              <w:jc w:val="center"/>
              <w:rPr>
                <w:rFonts w:ascii="Lucida Sans" w:hAnsi="Lucida Sans"/>
                <w:color w:val="000000"/>
                <w:sz w:val="18"/>
              </w:rPr>
            </w:pPr>
            <w:r w:rsidRPr="00FB59ED">
              <w:rPr>
                <w:rFonts w:ascii="Lucida Sans" w:hAnsi="Lucida Sans"/>
                <w:color w:val="000000"/>
                <w:sz w:val="18"/>
              </w:rPr>
              <w:t>Yes</w:t>
            </w:r>
          </w:p>
        </w:tc>
      </w:tr>
      <w:tr w:rsidR="00743989" w:rsidRPr="00FB59ED" w14:paraId="15EDB967" w14:textId="77777777" w:rsidTr="00D361A0">
        <w:trPr>
          <w:cantSplit/>
        </w:trPr>
        <w:tc>
          <w:tcPr>
            <w:tcW w:w="488" w:type="dxa"/>
            <w:tcBorders>
              <w:top w:val="single" w:sz="4" w:space="0" w:color="auto"/>
              <w:left w:val="nil"/>
              <w:bottom w:val="dotted" w:sz="4" w:space="0" w:color="auto"/>
              <w:right w:val="nil"/>
            </w:tcBorders>
          </w:tcPr>
          <w:p w14:paraId="7C0B7761" w14:textId="77777777" w:rsidR="00743989" w:rsidRPr="00FB59ED" w:rsidRDefault="00743989" w:rsidP="00D361A0">
            <w:pPr>
              <w:suppressAutoHyphens/>
              <w:autoSpaceDE w:val="0"/>
              <w:autoSpaceDN w:val="0"/>
              <w:adjustRightInd w:val="0"/>
              <w:spacing w:before="60" w:after="60" w:line="276" w:lineRule="auto"/>
              <w:rPr>
                <w:rFonts w:ascii="Lucida Sans" w:hAnsi="Lucida Sans"/>
                <w:color w:val="000000"/>
                <w:sz w:val="18"/>
              </w:rPr>
            </w:pPr>
          </w:p>
        </w:tc>
        <w:tc>
          <w:tcPr>
            <w:tcW w:w="9790" w:type="dxa"/>
            <w:tcBorders>
              <w:top w:val="single" w:sz="4" w:space="0" w:color="auto"/>
              <w:left w:val="nil"/>
              <w:bottom w:val="dotted" w:sz="4" w:space="0" w:color="auto"/>
              <w:right w:val="nil"/>
            </w:tcBorders>
            <w:shd w:val="clear" w:color="auto" w:fill="auto"/>
          </w:tcPr>
          <w:p w14:paraId="5EEFBCF2" w14:textId="77777777" w:rsidR="00743989" w:rsidRPr="00FB59ED" w:rsidRDefault="00743989" w:rsidP="00D361A0">
            <w:pPr>
              <w:suppressAutoHyphens/>
              <w:autoSpaceDE w:val="0"/>
              <w:autoSpaceDN w:val="0"/>
              <w:adjustRightInd w:val="0"/>
              <w:spacing w:before="60" w:after="60" w:line="276" w:lineRule="auto"/>
              <w:rPr>
                <w:rFonts w:ascii="Lucida Sans" w:hAnsi="Lucida Sans"/>
                <w:color w:val="000000"/>
                <w:sz w:val="18"/>
              </w:rPr>
            </w:pPr>
            <w:r w:rsidRPr="00FB59ED">
              <w:rPr>
                <w:rFonts w:ascii="Lucida Sans" w:hAnsi="Lucida Sans"/>
                <w:color w:val="000000"/>
                <w:sz w:val="18"/>
              </w:rPr>
              <w:t xml:space="preserve">2b. </w:t>
            </w:r>
            <w:r w:rsidRPr="00FB59ED">
              <w:rPr>
                <w:rFonts w:ascii="Lucida Sans" w:hAnsi="Lucida Sans"/>
                <w:i/>
                <w:color w:val="000000"/>
                <w:sz w:val="18"/>
              </w:rPr>
              <w:t>Additional Performance Standards by Project Type.</w:t>
            </w:r>
            <w:r w:rsidRPr="00FB59ED">
              <w:rPr>
                <w:rFonts w:ascii="Lucida Sans" w:hAnsi="Lucida Sans"/>
                <w:color w:val="000000"/>
                <w:sz w:val="18"/>
              </w:rPr>
              <w:t xml:space="preserve"> In addition to implementing all the features described in 2a above, the project must meet eligibility requirements provided below by project </w:t>
            </w:r>
            <w:proofErr w:type="spellStart"/>
            <w:proofErr w:type="gramStart"/>
            <w:r w:rsidRPr="00FB59ED">
              <w:rPr>
                <w:rFonts w:ascii="Lucida Sans" w:hAnsi="Lucida Sans"/>
                <w:color w:val="000000"/>
                <w:sz w:val="18"/>
              </w:rPr>
              <w:t>type.</w:t>
            </w:r>
            <w:r w:rsidRPr="00FB59ED">
              <w:rPr>
                <w:rFonts w:ascii="Lucida Sans" w:hAnsi="Lucida Sans"/>
                <w:color w:val="000000"/>
                <w:sz w:val="18"/>
                <w:vertAlign w:val="superscript"/>
              </w:rPr>
              <w:t>a</w:t>
            </w:r>
            <w:proofErr w:type="spellEnd"/>
            <w:proofErr w:type="gramEnd"/>
          </w:p>
        </w:tc>
        <w:tc>
          <w:tcPr>
            <w:tcW w:w="2880" w:type="dxa"/>
            <w:tcBorders>
              <w:top w:val="single" w:sz="4" w:space="0" w:color="auto"/>
              <w:left w:val="nil"/>
              <w:bottom w:val="dotted" w:sz="4" w:space="0" w:color="auto"/>
              <w:right w:val="nil"/>
            </w:tcBorders>
            <w:shd w:val="clear" w:color="auto" w:fill="auto"/>
          </w:tcPr>
          <w:p w14:paraId="2E3081BB" w14:textId="77777777" w:rsidR="00743989" w:rsidRPr="00FB59ED" w:rsidRDefault="00743989" w:rsidP="00D361A0">
            <w:pPr>
              <w:suppressAutoHyphens/>
              <w:autoSpaceDE w:val="0"/>
              <w:autoSpaceDN w:val="0"/>
              <w:adjustRightInd w:val="0"/>
              <w:spacing w:before="60" w:after="60" w:line="276" w:lineRule="auto"/>
              <w:jc w:val="center"/>
              <w:rPr>
                <w:rFonts w:ascii="Lucida Sans" w:hAnsi="Lucida Sans"/>
                <w:color w:val="000000"/>
                <w:sz w:val="18"/>
              </w:rPr>
            </w:pPr>
          </w:p>
        </w:tc>
      </w:tr>
      <w:tr w:rsidR="00743989" w:rsidRPr="00FB59ED" w14:paraId="6AF05E1B" w14:textId="77777777" w:rsidTr="00D361A0">
        <w:trPr>
          <w:cantSplit/>
        </w:trPr>
        <w:tc>
          <w:tcPr>
            <w:tcW w:w="488" w:type="dxa"/>
            <w:tcBorders>
              <w:top w:val="dotted" w:sz="4" w:space="0" w:color="auto"/>
              <w:left w:val="nil"/>
              <w:bottom w:val="dotted" w:sz="4" w:space="0" w:color="auto"/>
              <w:right w:val="nil"/>
            </w:tcBorders>
          </w:tcPr>
          <w:p w14:paraId="5BEE6F6B" w14:textId="77777777" w:rsidR="00743989" w:rsidRPr="00FB59ED" w:rsidRDefault="00743989" w:rsidP="00D361A0">
            <w:pPr>
              <w:suppressAutoHyphens/>
              <w:autoSpaceDE w:val="0"/>
              <w:autoSpaceDN w:val="0"/>
              <w:adjustRightInd w:val="0"/>
              <w:spacing w:before="60" w:after="60" w:line="276" w:lineRule="auto"/>
              <w:rPr>
                <w:rFonts w:ascii="Lucida Sans" w:hAnsi="Lucida Sans"/>
                <w:color w:val="000000"/>
                <w:sz w:val="18"/>
              </w:rPr>
            </w:pPr>
          </w:p>
        </w:tc>
        <w:tc>
          <w:tcPr>
            <w:tcW w:w="9790" w:type="dxa"/>
            <w:tcBorders>
              <w:top w:val="dotted" w:sz="4" w:space="0" w:color="auto"/>
              <w:left w:val="nil"/>
              <w:bottom w:val="dotted" w:sz="4" w:space="0" w:color="auto"/>
              <w:right w:val="nil"/>
            </w:tcBorders>
            <w:shd w:val="clear" w:color="auto" w:fill="auto"/>
          </w:tcPr>
          <w:p w14:paraId="65355541" w14:textId="77777777" w:rsidR="00743989" w:rsidRPr="00FB59ED" w:rsidRDefault="00743989" w:rsidP="00D361A0">
            <w:pPr>
              <w:suppressAutoHyphens/>
              <w:autoSpaceDE w:val="0"/>
              <w:autoSpaceDN w:val="0"/>
              <w:adjustRightInd w:val="0"/>
              <w:spacing w:before="60" w:after="60" w:line="276" w:lineRule="auto"/>
              <w:ind w:left="232"/>
              <w:rPr>
                <w:rFonts w:ascii="Lucida Sans" w:hAnsi="Lucida Sans"/>
                <w:color w:val="000000"/>
                <w:sz w:val="18"/>
              </w:rPr>
            </w:pPr>
            <w:r w:rsidRPr="00FB59ED">
              <w:rPr>
                <w:rFonts w:ascii="Lucida Sans" w:hAnsi="Lucida Sans"/>
                <w:b/>
                <w:color w:val="000000"/>
                <w:sz w:val="18"/>
              </w:rPr>
              <w:t xml:space="preserve">Residential. </w:t>
            </w:r>
            <w:r w:rsidRPr="00FB59ED">
              <w:rPr>
                <w:rFonts w:ascii="Lucida Sans" w:hAnsi="Lucida Sans"/>
                <w:color w:val="000000"/>
                <w:sz w:val="18"/>
              </w:rPr>
              <w:t xml:space="preserve">A residential project must meet </w:t>
            </w:r>
            <w:r w:rsidRPr="00FB59ED">
              <w:rPr>
                <w:rFonts w:ascii="Lucida Sans" w:hAnsi="Lucida Sans"/>
                <w:b/>
                <w:color w:val="000000"/>
                <w:sz w:val="18"/>
                <w:u w:val="single"/>
              </w:rPr>
              <w:t>one</w:t>
            </w:r>
            <w:r w:rsidRPr="00FB59ED">
              <w:rPr>
                <w:rFonts w:ascii="Lucida Sans" w:hAnsi="Lucida Sans"/>
                <w:color w:val="000000"/>
                <w:sz w:val="18"/>
              </w:rPr>
              <w:t xml:space="preserve"> of the following:</w:t>
            </w:r>
          </w:p>
          <w:p w14:paraId="4A148258" w14:textId="77777777" w:rsidR="00743989" w:rsidRPr="00FB59ED" w:rsidRDefault="00743989" w:rsidP="00D361A0">
            <w:pPr>
              <w:suppressAutoHyphens/>
              <w:autoSpaceDE w:val="0"/>
              <w:autoSpaceDN w:val="0"/>
              <w:adjustRightInd w:val="0"/>
              <w:spacing w:before="60" w:after="60" w:line="276" w:lineRule="auto"/>
              <w:ind w:left="502" w:hanging="270"/>
              <w:rPr>
                <w:rFonts w:ascii="Lucida Sans" w:hAnsi="Lucida Sans"/>
                <w:color w:val="000000"/>
                <w:sz w:val="18"/>
              </w:rPr>
            </w:pPr>
            <w:r w:rsidRPr="00FB59ED">
              <w:rPr>
                <w:rFonts w:ascii="Lucida Sans" w:hAnsi="Lucida Sans"/>
                <w:color w:val="000000"/>
                <w:sz w:val="18"/>
              </w:rPr>
              <w:t xml:space="preserve">A. </w:t>
            </w:r>
            <w:r w:rsidRPr="00FB59ED">
              <w:rPr>
                <w:rFonts w:ascii="Lucida Sans" w:hAnsi="Lucida Sans"/>
                <w:i/>
                <w:color w:val="000000"/>
                <w:sz w:val="18"/>
              </w:rPr>
              <w:t>Projects achieving below average regional per capita vehicle miles traveled (VMT).</w:t>
            </w:r>
            <w:r w:rsidRPr="00FB59ED">
              <w:rPr>
                <w:rFonts w:ascii="Lucida Sans" w:hAnsi="Lucida Sans"/>
                <w:color w:val="000000"/>
                <w:sz w:val="18"/>
              </w:rPr>
              <w:t xml:space="preserve"> A residential project is eligible if it </w:t>
            </w:r>
            <w:proofErr w:type="gramStart"/>
            <w:r w:rsidRPr="00FB59ED">
              <w:rPr>
                <w:rFonts w:ascii="Lucida Sans" w:hAnsi="Lucida Sans"/>
                <w:color w:val="000000"/>
                <w:sz w:val="18"/>
              </w:rPr>
              <w:t>is located in</w:t>
            </w:r>
            <w:proofErr w:type="gramEnd"/>
            <w:r w:rsidRPr="00FB59ED">
              <w:rPr>
                <w:rFonts w:ascii="Lucida Sans" w:hAnsi="Lucida Sans"/>
                <w:color w:val="000000"/>
                <w:sz w:val="18"/>
              </w:rPr>
              <w:t xml:space="preserve"> a "low vehicle travel area" within the region; </w:t>
            </w:r>
          </w:p>
          <w:p w14:paraId="0FD93ABF" w14:textId="77777777" w:rsidR="00743989" w:rsidRPr="00FB59ED" w:rsidRDefault="00743989" w:rsidP="00D361A0">
            <w:pPr>
              <w:suppressAutoHyphens/>
              <w:autoSpaceDE w:val="0"/>
              <w:autoSpaceDN w:val="0"/>
              <w:adjustRightInd w:val="0"/>
              <w:spacing w:before="60" w:after="60" w:line="276" w:lineRule="auto"/>
              <w:ind w:left="502" w:hanging="270"/>
              <w:rPr>
                <w:rFonts w:ascii="Lucida Sans" w:hAnsi="Lucida Sans"/>
                <w:color w:val="000000"/>
                <w:sz w:val="18"/>
              </w:rPr>
            </w:pPr>
            <w:r w:rsidRPr="00FB59ED">
              <w:rPr>
                <w:rFonts w:ascii="Lucida Sans" w:hAnsi="Lucida Sans"/>
                <w:color w:val="000000"/>
                <w:sz w:val="18"/>
              </w:rPr>
              <w:t xml:space="preserve">B. </w:t>
            </w:r>
            <w:r w:rsidRPr="00FB59ED">
              <w:rPr>
                <w:rFonts w:ascii="Lucida Sans" w:hAnsi="Lucida Sans"/>
                <w:i/>
                <w:color w:val="000000"/>
                <w:sz w:val="18"/>
              </w:rPr>
              <w:t>Projects located within 1/2 mile of an Existing Major Transit Stop or High Quality Transit Corridor.</w:t>
            </w:r>
            <w:r w:rsidRPr="00FB59ED">
              <w:rPr>
                <w:rFonts w:ascii="Lucida Sans" w:hAnsi="Lucida Sans"/>
                <w:color w:val="000000"/>
                <w:sz w:val="18"/>
              </w:rPr>
              <w:t xml:space="preserve"> A residential project is eligible if it is located within 1/2 mile of an existing major transit stop or an existing stop along a </w:t>
            </w:r>
            <w:proofErr w:type="gramStart"/>
            <w:r w:rsidRPr="00FB59ED">
              <w:rPr>
                <w:rFonts w:ascii="Lucida Sans" w:hAnsi="Lucida Sans"/>
                <w:color w:val="000000"/>
                <w:sz w:val="18"/>
              </w:rPr>
              <w:t>high quality</w:t>
            </w:r>
            <w:proofErr w:type="gramEnd"/>
            <w:r w:rsidRPr="00FB59ED">
              <w:rPr>
                <w:rFonts w:ascii="Lucida Sans" w:hAnsi="Lucida Sans"/>
                <w:color w:val="000000"/>
                <w:sz w:val="18"/>
              </w:rPr>
              <w:t xml:space="preserve"> transit corridor; </w:t>
            </w:r>
            <w:r w:rsidRPr="00FB59ED">
              <w:rPr>
                <w:rFonts w:ascii="Lucida Sans" w:hAnsi="Lucida Sans"/>
                <w:b/>
                <w:color w:val="000000"/>
                <w:sz w:val="18"/>
                <w:u w:val="single"/>
              </w:rPr>
              <w:t>or</w:t>
            </w:r>
          </w:p>
          <w:p w14:paraId="1BAF5D86" w14:textId="77777777" w:rsidR="00743989" w:rsidRPr="00FB59ED" w:rsidRDefault="00743989" w:rsidP="00D361A0">
            <w:pPr>
              <w:suppressAutoHyphens/>
              <w:autoSpaceDE w:val="0"/>
              <w:autoSpaceDN w:val="0"/>
              <w:adjustRightInd w:val="0"/>
              <w:spacing w:before="60" w:after="60" w:line="276" w:lineRule="auto"/>
              <w:ind w:left="502" w:hanging="270"/>
              <w:rPr>
                <w:rFonts w:ascii="Lucida Sans" w:hAnsi="Lucida Sans"/>
                <w:color w:val="000000"/>
                <w:sz w:val="18"/>
              </w:rPr>
            </w:pPr>
            <w:r w:rsidRPr="00FB59ED">
              <w:rPr>
                <w:rFonts w:ascii="Lucida Sans" w:hAnsi="Lucida Sans"/>
                <w:color w:val="000000"/>
                <w:sz w:val="18"/>
              </w:rPr>
              <w:t xml:space="preserve">C. </w:t>
            </w:r>
            <w:r w:rsidRPr="00FB59ED">
              <w:rPr>
                <w:rFonts w:ascii="Lucida Sans" w:hAnsi="Lucida Sans"/>
                <w:i/>
                <w:color w:val="000000"/>
                <w:sz w:val="18"/>
              </w:rPr>
              <w:t>Low - Income Housing.</w:t>
            </w:r>
            <w:r w:rsidRPr="00FB59ED">
              <w:rPr>
                <w:rFonts w:ascii="Lucida Sans" w:hAnsi="Lucida Sans"/>
                <w:color w:val="000000"/>
                <w:sz w:val="18"/>
              </w:rPr>
              <w:t xml:space="preserve"> A residential or mixed-use project consisting of 300 or fewer residential units all of which are affordable to low income households is eligible if the developer of the development project provides sufficient legal commitments to the lead agency to ensure the continued availability and use of the housing units for lower income households, as defined in Section 50079.5 of the Health and Safety Code, for a period of at least 30 years, at monthly housing costs, as determined pursuant to Section 50053 of the Health and Safety Code. </w:t>
            </w:r>
          </w:p>
        </w:tc>
        <w:tc>
          <w:tcPr>
            <w:tcW w:w="2880" w:type="dxa"/>
            <w:tcBorders>
              <w:top w:val="dotted" w:sz="4" w:space="0" w:color="auto"/>
              <w:left w:val="nil"/>
              <w:bottom w:val="dotted" w:sz="4" w:space="0" w:color="auto"/>
              <w:right w:val="nil"/>
            </w:tcBorders>
            <w:shd w:val="clear" w:color="auto" w:fill="auto"/>
          </w:tcPr>
          <w:p w14:paraId="31A390A2" w14:textId="77777777" w:rsidR="00743989" w:rsidRPr="00FB59ED" w:rsidRDefault="00743989" w:rsidP="00D361A0">
            <w:pPr>
              <w:suppressAutoHyphens/>
              <w:autoSpaceDE w:val="0"/>
              <w:autoSpaceDN w:val="0"/>
              <w:adjustRightInd w:val="0"/>
              <w:spacing w:before="60" w:after="60" w:line="276" w:lineRule="auto"/>
              <w:jc w:val="center"/>
              <w:rPr>
                <w:rFonts w:ascii="Lucida Sans" w:hAnsi="Lucida Sans"/>
                <w:color w:val="000000"/>
                <w:sz w:val="18"/>
              </w:rPr>
            </w:pPr>
            <w:r w:rsidRPr="00FB59ED">
              <w:rPr>
                <w:rFonts w:ascii="Lucida Sans" w:hAnsi="Lucida Sans"/>
                <w:color w:val="000000"/>
                <w:sz w:val="18"/>
              </w:rPr>
              <w:t>Yes</w:t>
            </w:r>
          </w:p>
        </w:tc>
      </w:tr>
      <w:tr w:rsidR="00743989" w:rsidRPr="00FB59ED" w14:paraId="61FA61F6" w14:textId="77777777" w:rsidTr="00D361A0">
        <w:trPr>
          <w:cantSplit/>
        </w:trPr>
        <w:tc>
          <w:tcPr>
            <w:tcW w:w="488" w:type="dxa"/>
            <w:tcBorders>
              <w:top w:val="dotted" w:sz="4" w:space="0" w:color="auto"/>
              <w:left w:val="nil"/>
              <w:bottom w:val="dotted" w:sz="4" w:space="0" w:color="auto"/>
              <w:right w:val="nil"/>
            </w:tcBorders>
          </w:tcPr>
          <w:p w14:paraId="2257280C" w14:textId="77777777" w:rsidR="00743989" w:rsidRPr="00FB59ED" w:rsidRDefault="00743989" w:rsidP="00D361A0">
            <w:pPr>
              <w:suppressAutoHyphens/>
              <w:autoSpaceDE w:val="0"/>
              <w:autoSpaceDN w:val="0"/>
              <w:adjustRightInd w:val="0"/>
              <w:spacing w:before="60" w:after="60" w:line="276" w:lineRule="auto"/>
              <w:rPr>
                <w:rFonts w:ascii="Lucida Sans" w:hAnsi="Lucida Sans"/>
                <w:color w:val="000000"/>
                <w:sz w:val="18"/>
              </w:rPr>
            </w:pPr>
          </w:p>
        </w:tc>
        <w:tc>
          <w:tcPr>
            <w:tcW w:w="9790" w:type="dxa"/>
            <w:tcBorders>
              <w:top w:val="dotted" w:sz="4" w:space="0" w:color="auto"/>
              <w:left w:val="nil"/>
              <w:bottom w:val="dotted" w:sz="4" w:space="0" w:color="auto"/>
              <w:right w:val="nil"/>
            </w:tcBorders>
            <w:shd w:val="clear" w:color="auto" w:fill="auto"/>
          </w:tcPr>
          <w:p w14:paraId="04A8201E" w14:textId="77777777" w:rsidR="00743989" w:rsidRPr="00FB59ED" w:rsidRDefault="00743989" w:rsidP="00D361A0">
            <w:pPr>
              <w:suppressAutoHyphens/>
              <w:autoSpaceDE w:val="0"/>
              <w:autoSpaceDN w:val="0"/>
              <w:adjustRightInd w:val="0"/>
              <w:spacing w:before="60" w:after="60" w:line="276" w:lineRule="auto"/>
              <w:ind w:left="502" w:hanging="270"/>
              <w:rPr>
                <w:rFonts w:ascii="Lucida Sans" w:hAnsi="Lucida Sans"/>
                <w:color w:val="000000"/>
                <w:sz w:val="18"/>
              </w:rPr>
            </w:pPr>
            <w:r w:rsidRPr="00FB59ED">
              <w:rPr>
                <w:rFonts w:ascii="Lucida Sans" w:hAnsi="Lucida Sans"/>
                <w:b/>
                <w:color w:val="000000"/>
                <w:sz w:val="18"/>
              </w:rPr>
              <w:t>Commercial/Retail.</w:t>
            </w:r>
            <w:r w:rsidRPr="00FB59ED">
              <w:rPr>
                <w:rFonts w:ascii="Lucida Sans" w:hAnsi="Lucida Sans"/>
                <w:color w:val="000000"/>
                <w:sz w:val="18"/>
              </w:rPr>
              <w:t xml:space="preserve"> A commercial/retail project must meet </w:t>
            </w:r>
            <w:r w:rsidRPr="00FB59ED">
              <w:rPr>
                <w:rFonts w:ascii="Lucida Sans" w:hAnsi="Lucida Sans"/>
                <w:b/>
                <w:color w:val="000000"/>
                <w:sz w:val="18"/>
                <w:u w:val="single"/>
              </w:rPr>
              <w:t>one</w:t>
            </w:r>
            <w:r w:rsidRPr="00FB59ED">
              <w:rPr>
                <w:rFonts w:ascii="Lucida Sans" w:hAnsi="Lucida Sans"/>
                <w:color w:val="000000"/>
                <w:sz w:val="18"/>
              </w:rPr>
              <w:t xml:space="preserve"> of the following:</w:t>
            </w:r>
          </w:p>
          <w:p w14:paraId="40E4C483" w14:textId="77777777" w:rsidR="00743989" w:rsidRPr="00FB59ED" w:rsidRDefault="00743989" w:rsidP="00D361A0">
            <w:pPr>
              <w:suppressAutoHyphens/>
              <w:autoSpaceDE w:val="0"/>
              <w:autoSpaceDN w:val="0"/>
              <w:adjustRightInd w:val="0"/>
              <w:spacing w:before="60" w:after="60" w:line="276" w:lineRule="auto"/>
              <w:ind w:left="502" w:hanging="270"/>
              <w:rPr>
                <w:rFonts w:ascii="Lucida Sans" w:hAnsi="Lucida Sans"/>
                <w:color w:val="000000"/>
                <w:sz w:val="18"/>
              </w:rPr>
            </w:pPr>
            <w:r w:rsidRPr="00FB59ED">
              <w:rPr>
                <w:rFonts w:ascii="Lucida Sans" w:hAnsi="Lucida Sans"/>
                <w:color w:val="000000"/>
                <w:sz w:val="18"/>
              </w:rPr>
              <w:t xml:space="preserve">A. </w:t>
            </w:r>
            <w:r w:rsidRPr="00FB59ED">
              <w:rPr>
                <w:rFonts w:ascii="Lucida Sans" w:hAnsi="Lucida Sans"/>
                <w:i/>
                <w:color w:val="000000"/>
                <w:sz w:val="18"/>
              </w:rPr>
              <w:t>Regional Location.</w:t>
            </w:r>
            <w:r w:rsidRPr="00FB59ED">
              <w:rPr>
                <w:rFonts w:ascii="Lucida Sans" w:hAnsi="Lucida Sans"/>
                <w:color w:val="000000"/>
                <w:sz w:val="18"/>
              </w:rPr>
              <w:t xml:space="preserve"> A commercial project with no single-building floor-plate greater than 50,000 square feet is eligible if it locates in a "low vehicle travel area"; </w:t>
            </w:r>
            <w:r w:rsidRPr="00FB59ED">
              <w:rPr>
                <w:rFonts w:ascii="Lucida Sans" w:hAnsi="Lucida Sans"/>
                <w:b/>
                <w:color w:val="000000"/>
                <w:sz w:val="18"/>
                <w:u w:val="single"/>
              </w:rPr>
              <w:t>or</w:t>
            </w:r>
            <w:r w:rsidRPr="00FB59ED">
              <w:rPr>
                <w:rFonts w:ascii="Lucida Sans" w:hAnsi="Lucida Sans"/>
                <w:color w:val="000000"/>
                <w:sz w:val="18"/>
              </w:rPr>
              <w:t xml:space="preserve"> </w:t>
            </w:r>
          </w:p>
          <w:p w14:paraId="2353B679" w14:textId="77777777" w:rsidR="00743989" w:rsidRPr="00FB59ED" w:rsidRDefault="00743989" w:rsidP="00D361A0">
            <w:pPr>
              <w:suppressAutoHyphens/>
              <w:autoSpaceDE w:val="0"/>
              <w:autoSpaceDN w:val="0"/>
              <w:adjustRightInd w:val="0"/>
              <w:spacing w:before="60" w:after="60" w:line="276" w:lineRule="auto"/>
              <w:ind w:left="502" w:hanging="270"/>
              <w:rPr>
                <w:rFonts w:ascii="Lucida Sans" w:hAnsi="Lucida Sans"/>
                <w:b/>
                <w:color w:val="000000"/>
                <w:sz w:val="18"/>
              </w:rPr>
            </w:pPr>
            <w:r w:rsidRPr="00FB59ED">
              <w:rPr>
                <w:rFonts w:ascii="Lucida Sans" w:hAnsi="Lucida Sans"/>
                <w:color w:val="000000"/>
                <w:sz w:val="18"/>
              </w:rPr>
              <w:t xml:space="preserve">B. </w:t>
            </w:r>
            <w:r w:rsidRPr="00FB59ED">
              <w:rPr>
                <w:rFonts w:ascii="Lucida Sans" w:hAnsi="Lucida Sans"/>
                <w:i/>
                <w:color w:val="000000"/>
                <w:sz w:val="18"/>
              </w:rPr>
              <w:t>Proximity to Households.</w:t>
            </w:r>
            <w:r w:rsidRPr="00FB59ED">
              <w:rPr>
                <w:rFonts w:ascii="Lucida Sans" w:hAnsi="Lucida Sans"/>
                <w:color w:val="000000"/>
                <w:sz w:val="18"/>
              </w:rPr>
              <w:t xml:space="preserve"> A project with no single-building floor-plate greater than 50,000 square feet located within 1/2 mile of 1,800 households is eligible.</w:t>
            </w:r>
            <w:r w:rsidRPr="00FB59ED">
              <w:rPr>
                <w:rFonts w:ascii="Lucida Sans" w:hAnsi="Lucida Sans"/>
                <w:b/>
                <w:color w:val="000000"/>
                <w:sz w:val="18"/>
              </w:rPr>
              <w:t xml:space="preserve">  </w:t>
            </w:r>
          </w:p>
        </w:tc>
        <w:tc>
          <w:tcPr>
            <w:tcW w:w="2880" w:type="dxa"/>
            <w:tcBorders>
              <w:top w:val="dotted" w:sz="4" w:space="0" w:color="auto"/>
              <w:left w:val="nil"/>
              <w:bottom w:val="dotted" w:sz="4" w:space="0" w:color="auto"/>
              <w:right w:val="nil"/>
            </w:tcBorders>
            <w:shd w:val="clear" w:color="auto" w:fill="auto"/>
          </w:tcPr>
          <w:p w14:paraId="5D8C147A" w14:textId="77777777" w:rsidR="00743989" w:rsidRPr="00FB59ED" w:rsidRDefault="00743989" w:rsidP="00D361A0">
            <w:pPr>
              <w:suppressAutoHyphens/>
              <w:autoSpaceDE w:val="0"/>
              <w:autoSpaceDN w:val="0"/>
              <w:adjustRightInd w:val="0"/>
              <w:spacing w:before="60" w:after="60" w:line="276" w:lineRule="auto"/>
              <w:jc w:val="center"/>
              <w:rPr>
                <w:rFonts w:ascii="Lucida Sans" w:hAnsi="Lucida Sans"/>
                <w:color w:val="000000"/>
                <w:sz w:val="18"/>
              </w:rPr>
            </w:pPr>
            <w:r w:rsidRPr="00FB59ED">
              <w:rPr>
                <w:rFonts w:ascii="Lucida Sans" w:hAnsi="Lucida Sans"/>
                <w:color w:val="000000"/>
                <w:sz w:val="18"/>
              </w:rPr>
              <w:t>Yes</w:t>
            </w:r>
          </w:p>
        </w:tc>
      </w:tr>
      <w:tr w:rsidR="00743989" w:rsidRPr="00FB59ED" w14:paraId="030B499B" w14:textId="77777777" w:rsidTr="00D361A0">
        <w:trPr>
          <w:cantSplit/>
        </w:trPr>
        <w:tc>
          <w:tcPr>
            <w:tcW w:w="488" w:type="dxa"/>
            <w:tcBorders>
              <w:top w:val="dotted" w:sz="4" w:space="0" w:color="auto"/>
              <w:left w:val="nil"/>
              <w:bottom w:val="dotted" w:sz="4" w:space="0" w:color="auto"/>
              <w:right w:val="nil"/>
            </w:tcBorders>
          </w:tcPr>
          <w:p w14:paraId="5D8D0BCF" w14:textId="77777777" w:rsidR="00743989" w:rsidRPr="00FB59ED" w:rsidRDefault="00743989" w:rsidP="00D361A0">
            <w:pPr>
              <w:suppressAutoHyphens/>
              <w:autoSpaceDE w:val="0"/>
              <w:autoSpaceDN w:val="0"/>
              <w:adjustRightInd w:val="0"/>
              <w:spacing w:before="60" w:after="60" w:line="276" w:lineRule="auto"/>
              <w:rPr>
                <w:rFonts w:ascii="Lucida Sans" w:hAnsi="Lucida Sans"/>
                <w:color w:val="000000"/>
                <w:sz w:val="18"/>
              </w:rPr>
            </w:pPr>
          </w:p>
        </w:tc>
        <w:tc>
          <w:tcPr>
            <w:tcW w:w="9790" w:type="dxa"/>
            <w:tcBorders>
              <w:top w:val="dotted" w:sz="4" w:space="0" w:color="auto"/>
              <w:left w:val="nil"/>
              <w:bottom w:val="dotted" w:sz="4" w:space="0" w:color="auto"/>
              <w:right w:val="nil"/>
            </w:tcBorders>
            <w:shd w:val="clear" w:color="auto" w:fill="auto"/>
          </w:tcPr>
          <w:p w14:paraId="070ADE31" w14:textId="77777777" w:rsidR="00743989" w:rsidRPr="00FB59ED" w:rsidRDefault="00743989" w:rsidP="00D361A0">
            <w:pPr>
              <w:tabs>
                <w:tab w:val="left" w:pos="-2378"/>
              </w:tabs>
              <w:suppressAutoHyphens/>
              <w:autoSpaceDE w:val="0"/>
              <w:autoSpaceDN w:val="0"/>
              <w:adjustRightInd w:val="0"/>
              <w:spacing w:before="60" w:after="60" w:line="276" w:lineRule="auto"/>
              <w:ind w:left="502" w:hanging="270"/>
              <w:rPr>
                <w:rFonts w:ascii="Lucida Sans" w:hAnsi="Lucida Sans"/>
                <w:color w:val="000000"/>
                <w:sz w:val="18"/>
              </w:rPr>
            </w:pPr>
            <w:r w:rsidRPr="00FB59ED">
              <w:rPr>
                <w:rFonts w:ascii="Lucida Sans" w:hAnsi="Lucida Sans"/>
                <w:b/>
                <w:color w:val="000000"/>
                <w:sz w:val="18"/>
              </w:rPr>
              <w:t>Office Building.</w:t>
            </w:r>
            <w:r w:rsidRPr="00FB59ED">
              <w:rPr>
                <w:rFonts w:ascii="Lucida Sans" w:hAnsi="Lucida Sans"/>
                <w:color w:val="000000"/>
                <w:sz w:val="18"/>
              </w:rPr>
              <w:t xml:space="preserve"> An office building project must </w:t>
            </w:r>
            <w:proofErr w:type="gramStart"/>
            <w:r w:rsidRPr="00FB59ED">
              <w:rPr>
                <w:rFonts w:ascii="Lucida Sans" w:hAnsi="Lucida Sans"/>
                <w:color w:val="000000"/>
                <w:sz w:val="18"/>
              </w:rPr>
              <w:t>meeting</w:t>
            </w:r>
            <w:proofErr w:type="gramEnd"/>
            <w:r w:rsidRPr="00FB59ED">
              <w:rPr>
                <w:rFonts w:ascii="Lucida Sans" w:hAnsi="Lucida Sans"/>
                <w:color w:val="000000"/>
                <w:sz w:val="18"/>
              </w:rPr>
              <w:t xml:space="preserve"> </w:t>
            </w:r>
            <w:r w:rsidRPr="00FB59ED">
              <w:rPr>
                <w:rFonts w:ascii="Lucida Sans" w:hAnsi="Lucida Sans"/>
                <w:b/>
                <w:color w:val="000000"/>
                <w:sz w:val="18"/>
                <w:u w:val="single"/>
              </w:rPr>
              <w:t>one</w:t>
            </w:r>
            <w:r w:rsidRPr="00FB59ED">
              <w:rPr>
                <w:rFonts w:ascii="Lucida Sans" w:hAnsi="Lucida Sans"/>
                <w:color w:val="000000"/>
                <w:sz w:val="18"/>
              </w:rPr>
              <w:t xml:space="preserve"> of the following:</w:t>
            </w:r>
          </w:p>
          <w:p w14:paraId="46FAB70C" w14:textId="77777777" w:rsidR="00743989" w:rsidRPr="00FB59ED" w:rsidRDefault="00743989" w:rsidP="00D361A0">
            <w:pPr>
              <w:tabs>
                <w:tab w:val="left" w:pos="-2378"/>
              </w:tabs>
              <w:suppressAutoHyphens/>
              <w:autoSpaceDE w:val="0"/>
              <w:autoSpaceDN w:val="0"/>
              <w:adjustRightInd w:val="0"/>
              <w:spacing w:before="60" w:after="60" w:line="276" w:lineRule="auto"/>
              <w:ind w:left="502" w:hanging="270"/>
              <w:rPr>
                <w:rFonts w:ascii="Lucida Sans" w:hAnsi="Lucida Sans"/>
                <w:color w:val="000000"/>
                <w:sz w:val="18"/>
              </w:rPr>
            </w:pPr>
            <w:r w:rsidRPr="00FB59ED">
              <w:rPr>
                <w:rFonts w:ascii="Lucida Sans" w:hAnsi="Lucida Sans"/>
                <w:color w:val="000000"/>
                <w:sz w:val="18"/>
              </w:rPr>
              <w:t xml:space="preserve">A. </w:t>
            </w:r>
            <w:r w:rsidRPr="00FB59ED">
              <w:rPr>
                <w:rFonts w:ascii="Lucida Sans" w:hAnsi="Lucida Sans"/>
                <w:i/>
                <w:color w:val="000000"/>
                <w:sz w:val="18"/>
              </w:rPr>
              <w:t>Regional Location.</w:t>
            </w:r>
            <w:r w:rsidRPr="00FB59ED">
              <w:rPr>
                <w:rFonts w:ascii="Lucida Sans" w:hAnsi="Lucida Sans"/>
                <w:color w:val="000000"/>
                <w:sz w:val="18"/>
              </w:rPr>
              <w:t xml:space="preserve"> Office buildings, both commercial and public, are eligible if they locate in a low vehicle travel area; </w:t>
            </w:r>
            <w:r w:rsidRPr="00FB59ED">
              <w:rPr>
                <w:rFonts w:ascii="Lucida Sans" w:hAnsi="Lucida Sans"/>
                <w:b/>
                <w:color w:val="000000"/>
                <w:sz w:val="18"/>
                <w:u w:val="single"/>
              </w:rPr>
              <w:t>or</w:t>
            </w:r>
          </w:p>
          <w:p w14:paraId="1B4D1882" w14:textId="77777777" w:rsidR="00743989" w:rsidRPr="00FB59ED" w:rsidRDefault="00743989" w:rsidP="00D361A0">
            <w:pPr>
              <w:tabs>
                <w:tab w:val="left" w:pos="-2378"/>
              </w:tabs>
              <w:suppressAutoHyphens/>
              <w:autoSpaceDE w:val="0"/>
              <w:autoSpaceDN w:val="0"/>
              <w:adjustRightInd w:val="0"/>
              <w:spacing w:before="60" w:after="60" w:line="276" w:lineRule="auto"/>
              <w:ind w:left="502" w:hanging="270"/>
              <w:rPr>
                <w:rFonts w:ascii="Lucida Sans" w:hAnsi="Lucida Sans"/>
                <w:color w:val="000000"/>
                <w:sz w:val="18"/>
              </w:rPr>
            </w:pPr>
            <w:r w:rsidRPr="00FB59ED">
              <w:rPr>
                <w:rFonts w:ascii="Lucida Sans" w:hAnsi="Lucida Sans"/>
                <w:color w:val="000000"/>
                <w:sz w:val="18"/>
              </w:rPr>
              <w:t xml:space="preserve">B. </w:t>
            </w:r>
            <w:r w:rsidRPr="00FB59ED">
              <w:rPr>
                <w:rFonts w:ascii="Lucida Sans" w:hAnsi="Lucida Sans"/>
                <w:i/>
                <w:color w:val="000000"/>
                <w:sz w:val="18"/>
              </w:rPr>
              <w:t>Proximity to a Major Transit Stop.</w:t>
            </w:r>
            <w:r w:rsidRPr="00FB59ED">
              <w:rPr>
                <w:rFonts w:ascii="Lucida Sans" w:hAnsi="Lucida Sans"/>
                <w:color w:val="000000"/>
                <w:sz w:val="18"/>
              </w:rPr>
              <w:t xml:space="preserve"> Office buildings, both commercial and public, within 1/2 mile of an existing major transit stop, or 1/4 mile of an existing stop along a </w:t>
            </w:r>
            <w:proofErr w:type="gramStart"/>
            <w:r w:rsidRPr="00FB59ED">
              <w:rPr>
                <w:rFonts w:ascii="Lucida Sans" w:hAnsi="Lucida Sans"/>
                <w:color w:val="000000"/>
                <w:sz w:val="18"/>
              </w:rPr>
              <w:t>high quality</w:t>
            </w:r>
            <w:proofErr w:type="gramEnd"/>
            <w:r w:rsidRPr="00FB59ED">
              <w:rPr>
                <w:rFonts w:ascii="Lucida Sans" w:hAnsi="Lucida Sans"/>
                <w:color w:val="000000"/>
                <w:sz w:val="18"/>
              </w:rPr>
              <w:t xml:space="preserve"> transit corridor, are eligible.  </w:t>
            </w:r>
          </w:p>
        </w:tc>
        <w:tc>
          <w:tcPr>
            <w:tcW w:w="2880" w:type="dxa"/>
            <w:tcBorders>
              <w:top w:val="dotted" w:sz="4" w:space="0" w:color="auto"/>
              <w:left w:val="nil"/>
              <w:bottom w:val="dotted" w:sz="4" w:space="0" w:color="auto"/>
              <w:right w:val="nil"/>
            </w:tcBorders>
            <w:shd w:val="clear" w:color="auto" w:fill="auto"/>
          </w:tcPr>
          <w:p w14:paraId="77B20233" w14:textId="77777777" w:rsidR="00743989" w:rsidRPr="00FB59ED" w:rsidRDefault="00743989" w:rsidP="00D361A0">
            <w:pPr>
              <w:suppressAutoHyphens/>
              <w:autoSpaceDE w:val="0"/>
              <w:autoSpaceDN w:val="0"/>
              <w:adjustRightInd w:val="0"/>
              <w:spacing w:before="60" w:after="60" w:line="276" w:lineRule="auto"/>
              <w:jc w:val="center"/>
              <w:rPr>
                <w:rFonts w:ascii="Lucida Sans" w:hAnsi="Lucida Sans"/>
                <w:color w:val="000000"/>
                <w:sz w:val="18"/>
              </w:rPr>
            </w:pPr>
            <w:r w:rsidRPr="00FB59ED">
              <w:rPr>
                <w:rFonts w:ascii="Lucida Sans" w:hAnsi="Lucida Sans"/>
                <w:color w:val="000000"/>
                <w:sz w:val="18"/>
              </w:rPr>
              <w:t>Yes</w:t>
            </w:r>
          </w:p>
        </w:tc>
      </w:tr>
      <w:tr w:rsidR="00743989" w:rsidRPr="00FB59ED" w14:paraId="74ACB1C1" w14:textId="77777777" w:rsidTr="00D361A0">
        <w:trPr>
          <w:cantSplit/>
        </w:trPr>
        <w:tc>
          <w:tcPr>
            <w:tcW w:w="488" w:type="dxa"/>
            <w:tcBorders>
              <w:top w:val="dotted" w:sz="4" w:space="0" w:color="auto"/>
              <w:left w:val="nil"/>
              <w:bottom w:val="dotted" w:sz="4" w:space="0" w:color="auto"/>
              <w:right w:val="nil"/>
            </w:tcBorders>
          </w:tcPr>
          <w:p w14:paraId="63136226" w14:textId="77777777" w:rsidR="00743989" w:rsidRPr="00FB59ED" w:rsidRDefault="00743989" w:rsidP="00D361A0">
            <w:pPr>
              <w:suppressAutoHyphens/>
              <w:autoSpaceDE w:val="0"/>
              <w:autoSpaceDN w:val="0"/>
              <w:adjustRightInd w:val="0"/>
              <w:spacing w:before="60" w:after="60" w:line="276" w:lineRule="auto"/>
              <w:rPr>
                <w:rFonts w:ascii="Lucida Sans" w:hAnsi="Lucida Sans"/>
                <w:color w:val="000000"/>
                <w:sz w:val="18"/>
              </w:rPr>
            </w:pPr>
          </w:p>
        </w:tc>
        <w:tc>
          <w:tcPr>
            <w:tcW w:w="9790" w:type="dxa"/>
            <w:tcBorders>
              <w:top w:val="dotted" w:sz="4" w:space="0" w:color="auto"/>
              <w:left w:val="nil"/>
              <w:bottom w:val="dotted" w:sz="4" w:space="0" w:color="auto"/>
              <w:right w:val="nil"/>
            </w:tcBorders>
            <w:shd w:val="clear" w:color="auto" w:fill="auto"/>
          </w:tcPr>
          <w:p w14:paraId="79A93767" w14:textId="77777777" w:rsidR="00743989" w:rsidRPr="00FB59ED" w:rsidRDefault="00743989" w:rsidP="00D361A0">
            <w:pPr>
              <w:suppressAutoHyphens/>
              <w:autoSpaceDE w:val="0"/>
              <w:autoSpaceDN w:val="0"/>
              <w:adjustRightInd w:val="0"/>
              <w:spacing w:before="60" w:after="60" w:line="276" w:lineRule="auto"/>
              <w:ind w:left="232"/>
              <w:rPr>
                <w:rFonts w:ascii="Lucida Sans" w:hAnsi="Lucida Sans"/>
                <w:b/>
                <w:color w:val="000000"/>
                <w:sz w:val="18"/>
              </w:rPr>
            </w:pPr>
            <w:r w:rsidRPr="00FB59ED">
              <w:rPr>
                <w:rFonts w:ascii="Lucida Sans" w:hAnsi="Lucida Sans"/>
                <w:b/>
                <w:color w:val="000000"/>
                <w:sz w:val="18"/>
              </w:rPr>
              <w:t>Schools.</w:t>
            </w:r>
          </w:p>
          <w:p w14:paraId="6BBF54F7" w14:textId="77777777" w:rsidR="00743989" w:rsidRPr="00FB59ED" w:rsidRDefault="00743989" w:rsidP="00D361A0">
            <w:pPr>
              <w:suppressAutoHyphens/>
              <w:autoSpaceDE w:val="0"/>
              <w:autoSpaceDN w:val="0"/>
              <w:adjustRightInd w:val="0"/>
              <w:spacing w:before="60" w:after="60" w:line="276" w:lineRule="auto"/>
              <w:ind w:left="232"/>
              <w:rPr>
                <w:rFonts w:ascii="Lucida Sans" w:hAnsi="Lucida Sans"/>
                <w:color w:val="000000"/>
                <w:sz w:val="18"/>
              </w:rPr>
            </w:pPr>
            <w:r w:rsidRPr="00FB59ED">
              <w:rPr>
                <w:rFonts w:ascii="Lucida Sans" w:hAnsi="Lucida Sans"/>
                <w:color w:val="000000"/>
                <w:sz w:val="18"/>
              </w:rPr>
              <w:t xml:space="preserve">Elementary schools within one mile of fifty percent of the projected student population are eligible. Middle schools and high schools within two miles of fifty percent of the projected student population are eligible. Alternatively, any school within 1/2 mile of an existing major transit stop or an existing stop along a </w:t>
            </w:r>
            <w:proofErr w:type="gramStart"/>
            <w:r w:rsidRPr="00FB59ED">
              <w:rPr>
                <w:rFonts w:ascii="Lucida Sans" w:hAnsi="Lucida Sans"/>
                <w:color w:val="000000"/>
                <w:sz w:val="18"/>
              </w:rPr>
              <w:t>high quality</w:t>
            </w:r>
            <w:proofErr w:type="gramEnd"/>
            <w:r w:rsidRPr="00FB59ED">
              <w:rPr>
                <w:rFonts w:ascii="Lucida Sans" w:hAnsi="Lucida Sans"/>
                <w:color w:val="000000"/>
                <w:sz w:val="18"/>
              </w:rPr>
              <w:t xml:space="preserve"> transit corridor is eligible.</w:t>
            </w:r>
          </w:p>
          <w:p w14:paraId="262B6CF6" w14:textId="77777777" w:rsidR="00743989" w:rsidRPr="00FB59ED" w:rsidRDefault="00743989" w:rsidP="00D361A0">
            <w:pPr>
              <w:suppressAutoHyphens/>
              <w:autoSpaceDE w:val="0"/>
              <w:autoSpaceDN w:val="0"/>
              <w:adjustRightInd w:val="0"/>
              <w:spacing w:before="60" w:after="60" w:line="276" w:lineRule="auto"/>
              <w:ind w:left="232"/>
              <w:rPr>
                <w:rFonts w:ascii="Lucida Sans" w:hAnsi="Lucida Sans"/>
                <w:color w:val="000000"/>
                <w:sz w:val="18"/>
              </w:rPr>
            </w:pPr>
            <w:r w:rsidRPr="00FB59ED">
              <w:rPr>
                <w:rFonts w:ascii="Lucida Sans" w:hAnsi="Lucida Sans"/>
                <w:color w:val="000000"/>
                <w:sz w:val="18"/>
              </w:rPr>
              <w:t xml:space="preserve">Additionally, </w:t>
            </w:r>
            <w:proofErr w:type="gramStart"/>
            <w:r w:rsidRPr="00FB59ED">
              <w:rPr>
                <w:rFonts w:ascii="Lucida Sans" w:hAnsi="Lucida Sans"/>
                <w:color w:val="000000"/>
                <w:sz w:val="18"/>
              </w:rPr>
              <w:t>in order to</w:t>
            </w:r>
            <w:proofErr w:type="gramEnd"/>
            <w:r w:rsidRPr="00FB59ED">
              <w:rPr>
                <w:rFonts w:ascii="Lucida Sans" w:hAnsi="Lucida Sans"/>
                <w:color w:val="000000"/>
                <w:sz w:val="18"/>
              </w:rPr>
              <w:t xml:space="preserve"> be eligible, all schools shall provide parking and storage for bicycles and scooters and shall comply with the requirements in Sections 17213, 17213.1 and 17213.2 of the California Education Code. </w:t>
            </w:r>
          </w:p>
        </w:tc>
        <w:tc>
          <w:tcPr>
            <w:tcW w:w="2880" w:type="dxa"/>
            <w:tcBorders>
              <w:top w:val="dotted" w:sz="4" w:space="0" w:color="auto"/>
              <w:left w:val="nil"/>
              <w:bottom w:val="dotted" w:sz="4" w:space="0" w:color="auto"/>
              <w:right w:val="nil"/>
            </w:tcBorders>
            <w:shd w:val="clear" w:color="auto" w:fill="auto"/>
          </w:tcPr>
          <w:p w14:paraId="6AFFDC20" w14:textId="77777777" w:rsidR="00743989" w:rsidRPr="00FB59ED" w:rsidRDefault="00743989" w:rsidP="00D361A0">
            <w:pPr>
              <w:suppressAutoHyphens/>
              <w:autoSpaceDE w:val="0"/>
              <w:autoSpaceDN w:val="0"/>
              <w:adjustRightInd w:val="0"/>
              <w:spacing w:before="60" w:after="60" w:line="276" w:lineRule="auto"/>
              <w:jc w:val="center"/>
              <w:rPr>
                <w:rFonts w:ascii="Lucida Sans" w:hAnsi="Lucida Sans"/>
                <w:color w:val="000000"/>
                <w:sz w:val="18"/>
              </w:rPr>
            </w:pPr>
            <w:r w:rsidRPr="00FB59ED">
              <w:rPr>
                <w:rFonts w:ascii="Lucida Sans" w:hAnsi="Lucida Sans"/>
                <w:color w:val="000000"/>
                <w:sz w:val="18"/>
              </w:rPr>
              <w:t>Yes</w:t>
            </w:r>
          </w:p>
        </w:tc>
      </w:tr>
      <w:tr w:rsidR="00743989" w:rsidRPr="00FB59ED" w14:paraId="268CA7CB" w14:textId="77777777" w:rsidTr="00D361A0">
        <w:trPr>
          <w:cantSplit/>
        </w:trPr>
        <w:tc>
          <w:tcPr>
            <w:tcW w:w="488" w:type="dxa"/>
            <w:tcBorders>
              <w:top w:val="dotted" w:sz="4" w:space="0" w:color="auto"/>
              <w:left w:val="nil"/>
              <w:bottom w:val="dotted" w:sz="4" w:space="0" w:color="auto"/>
              <w:right w:val="nil"/>
            </w:tcBorders>
          </w:tcPr>
          <w:p w14:paraId="202C3C51" w14:textId="77777777" w:rsidR="00743989" w:rsidRPr="00FB59ED" w:rsidRDefault="00743989" w:rsidP="00D361A0">
            <w:pPr>
              <w:suppressAutoHyphens/>
              <w:autoSpaceDE w:val="0"/>
              <w:autoSpaceDN w:val="0"/>
              <w:adjustRightInd w:val="0"/>
              <w:spacing w:before="60" w:after="60" w:line="276" w:lineRule="auto"/>
              <w:rPr>
                <w:rFonts w:ascii="Lucida Sans" w:hAnsi="Lucida Sans"/>
                <w:color w:val="000000"/>
                <w:sz w:val="18"/>
              </w:rPr>
            </w:pPr>
          </w:p>
        </w:tc>
        <w:tc>
          <w:tcPr>
            <w:tcW w:w="9790" w:type="dxa"/>
            <w:tcBorders>
              <w:top w:val="dotted" w:sz="4" w:space="0" w:color="auto"/>
              <w:left w:val="nil"/>
              <w:bottom w:val="dotted" w:sz="4" w:space="0" w:color="auto"/>
              <w:right w:val="nil"/>
            </w:tcBorders>
            <w:shd w:val="clear" w:color="auto" w:fill="auto"/>
          </w:tcPr>
          <w:p w14:paraId="5C12A500" w14:textId="77777777" w:rsidR="00743989" w:rsidRPr="00FB59ED" w:rsidRDefault="00743989" w:rsidP="00D361A0">
            <w:pPr>
              <w:suppressAutoHyphens/>
              <w:autoSpaceDE w:val="0"/>
              <w:autoSpaceDN w:val="0"/>
              <w:adjustRightInd w:val="0"/>
              <w:spacing w:before="60" w:after="60" w:line="276" w:lineRule="auto"/>
              <w:ind w:left="232"/>
              <w:rPr>
                <w:rFonts w:ascii="Lucida Sans" w:hAnsi="Lucida Sans"/>
                <w:color w:val="000000"/>
                <w:sz w:val="18"/>
              </w:rPr>
            </w:pPr>
            <w:r w:rsidRPr="00FB59ED">
              <w:rPr>
                <w:rFonts w:ascii="Lucida Sans" w:hAnsi="Lucida Sans"/>
                <w:b/>
                <w:color w:val="000000"/>
                <w:sz w:val="18"/>
              </w:rPr>
              <w:t>Transit.</w:t>
            </w:r>
            <w:r w:rsidRPr="00FB59ED">
              <w:rPr>
                <w:rFonts w:ascii="Lucida Sans" w:hAnsi="Lucida Sans"/>
                <w:color w:val="000000"/>
                <w:sz w:val="18"/>
              </w:rPr>
              <w:t xml:space="preserve"> </w:t>
            </w:r>
          </w:p>
          <w:p w14:paraId="5250C5F8" w14:textId="77777777" w:rsidR="00743989" w:rsidRPr="00FB59ED" w:rsidRDefault="00743989" w:rsidP="00D361A0">
            <w:pPr>
              <w:suppressAutoHyphens/>
              <w:autoSpaceDE w:val="0"/>
              <w:autoSpaceDN w:val="0"/>
              <w:adjustRightInd w:val="0"/>
              <w:spacing w:before="60" w:after="60" w:line="276" w:lineRule="auto"/>
              <w:ind w:left="232"/>
              <w:rPr>
                <w:rFonts w:ascii="Lucida Sans" w:hAnsi="Lucida Sans"/>
                <w:color w:val="000000"/>
                <w:sz w:val="18"/>
              </w:rPr>
            </w:pPr>
            <w:r w:rsidRPr="00FB59ED">
              <w:rPr>
                <w:rFonts w:ascii="Lucida Sans" w:hAnsi="Lucida Sans"/>
                <w:color w:val="000000"/>
                <w:sz w:val="18"/>
              </w:rPr>
              <w:t>Transit stations, as defined in Section 15183.3(e)(1), are eligible.</w:t>
            </w:r>
          </w:p>
        </w:tc>
        <w:tc>
          <w:tcPr>
            <w:tcW w:w="2880" w:type="dxa"/>
            <w:tcBorders>
              <w:top w:val="dotted" w:sz="4" w:space="0" w:color="auto"/>
              <w:left w:val="nil"/>
              <w:bottom w:val="dotted" w:sz="4" w:space="0" w:color="auto"/>
              <w:right w:val="nil"/>
            </w:tcBorders>
            <w:shd w:val="clear" w:color="auto" w:fill="auto"/>
          </w:tcPr>
          <w:p w14:paraId="7FC7942E" w14:textId="77777777" w:rsidR="00743989" w:rsidRPr="00FB59ED" w:rsidRDefault="00743989" w:rsidP="00D361A0">
            <w:pPr>
              <w:suppressAutoHyphens/>
              <w:autoSpaceDE w:val="0"/>
              <w:autoSpaceDN w:val="0"/>
              <w:adjustRightInd w:val="0"/>
              <w:spacing w:before="60" w:after="60" w:line="276" w:lineRule="auto"/>
              <w:jc w:val="center"/>
              <w:rPr>
                <w:rFonts w:ascii="Lucida Sans" w:hAnsi="Lucida Sans"/>
                <w:color w:val="000000"/>
                <w:sz w:val="18"/>
              </w:rPr>
            </w:pPr>
            <w:r w:rsidRPr="00FB59ED">
              <w:rPr>
                <w:rFonts w:ascii="Lucida Sans" w:hAnsi="Lucida Sans"/>
                <w:color w:val="000000"/>
                <w:sz w:val="18"/>
              </w:rPr>
              <w:t>Yes</w:t>
            </w:r>
          </w:p>
        </w:tc>
      </w:tr>
      <w:tr w:rsidR="00743989" w:rsidRPr="00FB59ED" w14:paraId="313B15F9" w14:textId="77777777" w:rsidTr="00D361A0">
        <w:trPr>
          <w:cantSplit/>
        </w:trPr>
        <w:tc>
          <w:tcPr>
            <w:tcW w:w="488" w:type="dxa"/>
            <w:tcBorders>
              <w:top w:val="dotted" w:sz="4" w:space="0" w:color="auto"/>
              <w:left w:val="nil"/>
              <w:bottom w:val="single" w:sz="4" w:space="0" w:color="auto"/>
              <w:right w:val="nil"/>
            </w:tcBorders>
          </w:tcPr>
          <w:p w14:paraId="7D0DCC9E" w14:textId="77777777" w:rsidR="00743989" w:rsidRPr="00FB59ED" w:rsidRDefault="00743989" w:rsidP="00D361A0">
            <w:pPr>
              <w:suppressAutoHyphens/>
              <w:autoSpaceDE w:val="0"/>
              <w:autoSpaceDN w:val="0"/>
              <w:adjustRightInd w:val="0"/>
              <w:spacing w:before="60" w:after="60" w:line="276" w:lineRule="auto"/>
              <w:rPr>
                <w:rFonts w:ascii="Lucida Sans" w:hAnsi="Lucida Sans"/>
                <w:color w:val="000000"/>
                <w:sz w:val="18"/>
              </w:rPr>
            </w:pPr>
          </w:p>
        </w:tc>
        <w:tc>
          <w:tcPr>
            <w:tcW w:w="9790" w:type="dxa"/>
            <w:tcBorders>
              <w:top w:val="dotted" w:sz="4" w:space="0" w:color="auto"/>
              <w:left w:val="nil"/>
              <w:bottom w:val="single" w:sz="4" w:space="0" w:color="auto"/>
              <w:right w:val="nil"/>
            </w:tcBorders>
            <w:shd w:val="clear" w:color="auto" w:fill="auto"/>
          </w:tcPr>
          <w:p w14:paraId="156FBA3E" w14:textId="77777777" w:rsidR="00743989" w:rsidRPr="00FB59ED" w:rsidRDefault="00743989" w:rsidP="00D361A0">
            <w:pPr>
              <w:suppressAutoHyphens/>
              <w:autoSpaceDE w:val="0"/>
              <w:autoSpaceDN w:val="0"/>
              <w:adjustRightInd w:val="0"/>
              <w:spacing w:before="60" w:after="60" w:line="276" w:lineRule="auto"/>
              <w:ind w:left="232"/>
              <w:rPr>
                <w:rFonts w:ascii="Lucida Sans" w:hAnsi="Lucida Sans"/>
                <w:b/>
                <w:color w:val="000000"/>
                <w:sz w:val="18"/>
              </w:rPr>
            </w:pPr>
            <w:r w:rsidRPr="00FB59ED">
              <w:rPr>
                <w:rFonts w:ascii="Lucida Sans" w:hAnsi="Lucida Sans"/>
                <w:b/>
                <w:color w:val="000000"/>
                <w:sz w:val="18"/>
              </w:rPr>
              <w:t>Small Walkable Community Projects.</w:t>
            </w:r>
          </w:p>
          <w:p w14:paraId="7A48A547" w14:textId="77777777" w:rsidR="00743989" w:rsidRPr="00FB59ED" w:rsidRDefault="00743989" w:rsidP="00D361A0">
            <w:pPr>
              <w:suppressAutoHyphens/>
              <w:autoSpaceDE w:val="0"/>
              <w:autoSpaceDN w:val="0"/>
              <w:adjustRightInd w:val="0"/>
              <w:spacing w:before="60" w:after="60" w:line="276" w:lineRule="auto"/>
              <w:ind w:left="232"/>
              <w:rPr>
                <w:rFonts w:ascii="Lucida Sans" w:hAnsi="Lucida Sans"/>
                <w:color w:val="000000"/>
                <w:sz w:val="18"/>
              </w:rPr>
            </w:pPr>
            <w:r w:rsidRPr="00FB59ED">
              <w:rPr>
                <w:rFonts w:ascii="Lucida Sans" w:hAnsi="Lucida Sans"/>
                <w:color w:val="000000"/>
                <w:sz w:val="18"/>
              </w:rPr>
              <w:t xml:space="preserve">Small walkable community projects, as defined in Section 15183.3, subdivision (e)(6), that implement the project features in 2a above are eligible.  </w:t>
            </w:r>
          </w:p>
        </w:tc>
        <w:tc>
          <w:tcPr>
            <w:tcW w:w="2880" w:type="dxa"/>
            <w:tcBorders>
              <w:top w:val="dotted" w:sz="4" w:space="0" w:color="auto"/>
              <w:left w:val="nil"/>
              <w:bottom w:val="single" w:sz="4" w:space="0" w:color="auto"/>
              <w:right w:val="nil"/>
            </w:tcBorders>
            <w:shd w:val="clear" w:color="auto" w:fill="auto"/>
          </w:tcPr>
          <w:p w14:paraId="4FF97CF1" w14:textId="77777777" w:rsidR="00743989" w:rsidRPr="00FB59ED" w:rsidRDefault="00743989" w:rsidP="00D361A0">
            <w:pPr>
              <w:suppressAutoHyphens/>
              <w:autoSpaceDE w:val="0"/>
              <w:autoSpaceDN w:val="0"/>
              <w:adjustRightInd w:val="0"/>
              <w:spacing w:before="60" w:after="60" w:line="276" w:lineRule="auto"/>
              <w:jc w:val="center"/>
              <w:rPr>
                <w:rFonts w:ascii="Lucida Sans" w:hAnsi="Lucida Sans"/>
                <w:color w:val="000000"/>
                <w:sz w:val="18"/>
              </w:rPr>
            </w:pPr>
            <w:r w:rsidRPr="00FB59ED">
              <w:rPr>
                <w:rFonts w:ascii="Lucida Sans" w:hAnsi="Lucida Sans"/>
                <w:color w:val="000000"/>
                <w:sz w:val="18"/>
              </w:rPr>
              <w:t>Yes</w:t>
            </w:r>
          </w:p>
        </w:tc>
      </w:tr>
      <w:tr w:rsidR="00743989" w:rsidRPr="00FB59ED" w14:paraId="07089549" w14:textId="77777777" w:rsidTr="00D361A0">
        <w:trPr>
          <w:cantSplit/>
          <w:trHeight w:val="2753"/>
        </w:trPr>
        <w:tc>
          <w:tcPr>
            <w:tcW w:w="488" w:type="dxa"/>
            <w:tcBorders>
              <w:top w:val="single" w:sz="4" w:space="0" w:color="auto"/>
              <w:left w:val="nil"/>
              <w:bottom w:val="single" w:sz="4" w:space="0" w:color="auto"/>
              <w:right w:val="nil"/>
            </w:tcBorders>
          </w:tcPr>
          <w:p w14:paraId="42C6C4ED" w14:textId="77777777" w:rsidR="00743989" w:rsidRPr="00FB59ED" w:rsidRDefault="00743989" w:rsidP="00D361A0">
            <w:pPr>
              <w:suppressAutoHyphens/>
              <w:autoSpaceDE w:val="0"/>
              <w:autoSpaceDN w:val="0"/>
              <w:adjustRightInd w:val="0"/>
              <w:spacing w:before="60" w:after="60" w:line="276" w:lineRule="auto"/>
              <w:rPr>
                <w:rFonts w:ascii="Lucida Sans" w:hAnsi="Lucida Sans"/>
                <w:b/>
                <w:color w:val="000000"/>
                <w:sz w:val="18"/>
              </w:rPr>
            </w:pPr>
            <w:r w:rsidRPr="00FB59ED">
              <w:rPr>
                <w:rFonts w:ascii="Lucida Sans" w:hAnsi="Lucida Sans"/>
                <w:b/>
                <w:color w:val="000000"/>
                <w:sz w:val="18"/>
              </w:rPr>
              <w:t>3.</w:t>
            </w:r>
          </w:p>
        </w:tc>
        <w:tc>
          <w:tcPr>
            <w:tcW w:w="9790" w:type="dxa"/>
            <w:tcBorders>
              <w:top w:val="single" w:sz="4" w:space="0" w:color="auto"/>
              <w:left w:val="nil"/>
              <w:bottom w:val="single" w:sz="4" w:space="0" w:color="auto"/>
              <w:right w:val="nil"/>
            </w:tcBorders>
            <w:shd w:val="clear" w:color="auto" w:fill="auto"/>
          </w:tcPr>
          <w:p w14:paraId="5E7D9F46" w14:textId="77777777" w:rsidR="00743989" w:rsidRPr="00FB59ED" w:rsidRDefault="00743989" w:rsidP="00D361A0">
            <w:pPr>
              <w:suppressAutoHyphens/>
              <w:autoSpaceDE w:val="0"/>
              <w:autoSpaceDN w:val="0"/>
              <w:adjustRightInd w:val="0"/>
              <w:spacing w:before="60" w:after="60" w:line="276" w:lineRule="auto"/>
              <w:rPr>
                <w:rFonts w:ascii="Lucida Sans" w:hAnsi="Lucida Sans"/>
                <w:color w:val="000000"/>
                <w:sz w:val="18"/>
              </w:rPr>
            </w:pPr>
            <w:r w:rsidRPr="00FB59ED">
              <w:rPr>
                <w:rFonts w:ascii="Lucida Sans" w:hAnsi="Lucida Sans"/>
                <w:color w:val="000000"/>
                <w:sz w:val="18"/>
              </w:rPr>
              <w:t xml:space="preserve">Be consistent with the general use designation, density, building intensity, and applicable policies specified for the project area in either a sustainable </w:t>
            </w:r>
            <w:proofErr w:type="gramStart"/>
            <w:r w:rsidRPr="00FB59ED">
              <w:rPr>
                <w:rFonts w:ascii="Lucida Sans" w:hAnsi="Lucida Sans"/>
                <w:color w:val="000000"/>
                <w:sz w:val="18"/>
              </w:rPr>
              <w:t>communities</w:t>
            </w:r>
            <w:proofErr w:type="gramEnd"/>
            <w:r w:rsidRPr="00FB59ED">
              <w:rPr>
                <w:rFonts w:ascii="Lucida Sans" w:hAnsi="Lucida Sans"/>
                <w:color w:val="000000"/>
                <w:sz w:val="18"/>
              </w:rPr>
              <w:t xml:space="preserve"> strategy or an alternative planning strategy,</w:t>
            </w:r>
            <w:r w:rsidRPr="00FB59ED">
              <w:rPr>
                <w:rFonts w:ascii="Lucida Sans" w:hAnsi="Lucida Sans"/>
                <w:b/>
                <w:color w:val="000000"/>
                <w:sz w:val="18"/>
              </w:rPr>
              <w:t xml:space="preserve"> </w:t>
            </w:r>
            <w:r w:rsidRPr="00FB59ED">
              <w:rPr>
                <w:rFonts w:ascii="Lucida Sans" w:hAnsi="Lucida Sans"/>
                <w:b/>
                <w:color w:val="000000"/>
                <w:sz w:val="18"/>
                <w:u w:val="single"/>
              </w:rPr>
              <w:t>except</w:t>
            </w:r>
            <w:r w:rsidRPr="00FB59ED">
              <w:rPr>
                <w:rFonts w:ascii="Lucida Sans" w:hAnsi="Lucida Sans"/>
                <w:color w:val="000000"/>
                <w:sz w:val="18"/>
              </w:rPr>
              <w:t xml:space="preserve"> as provided in CEQA Guidelines §15183.3(b)(3)(A) or (b)(3)(B) below:</w:t>
            </w:r>
          </w:p>
          <w:p w14:paraId="14541ED8" w14:textId="77777777" w:rsidR="00743989" w:rsidRPr="00FB59ED" w:rsidRDefault="00743989" w:rsidP="00D361A0">
            <w:pPr>
              <w:suppressAutoHyphens/>
              <w:autoSpaceDE w:val="0"/>
              <w:autoSpaceDN w:val="0"/>
              <w:adjustRightInd w:val="0"/>
              <w:spacing w:before="60" w:after="60" w:line="276" w:lineRule="auto"/>
              <w:ind w:left="360"/>
              <w:rPr>
                <w:rFonts w:ascii="Lucida Sans" w:hAnsi="Lucida Sans"/>
                <w:color w:val="000000"/>
                <w:sz w:val="18"/>
              </w:rPr>
            </w:pPr>
            <w:r w:rsidRPr="00FB59ED">
              <w:rPr>
                <w:rFonts w:ascii="Lucida Sans" w:hAnsi="Lucida Sans"/>
                <w:color w:val="000000"/>
                <w:sz w:val="18"/>
              </w:rPr>
              <w:t xml:space="preserve">(b)(3)(A). Only where an infill project is proposed within the boundaries of a metropolitan planning organization for which a sustainable </w:t>
            </w:r>
            <w:proofErr w:type="gramStart"/>
            <w:r w:rsidRPr="00FB59ED">
              <w:rPr>
                <w:rFonts w:ascii="Lucida Sans" w:hAnsi="Lucida Sans"/>
                <w:color w:val="000000"/>
                <w:sz w:val="18"/>
              </w:rPr>
              <w:t>communities</w:t>
            </w:r>
            <w:proofErr w:type="gramEnd"/>
            <w:r w:rsidRPr="00FB59ED">
              <w:rPr>
                <w:rFonts w:ascii="Lucida Sans" w:hAnsi="Lucida Sans"/>
                <w:color w:val="000000"/>
                <w:sz w:val="18"/>
              </w:rPr>
              <w:t xml:space="preserve"> strategy or an alternative planning strategy will be, but is not yet in effect, a residential infill project must have a density of at least 20 units per acre, and a retail or commercial infill project must have a floor area ratio of at least 0.75; </w:t>
            </w:r>
            <w:r w:rsidRPr="00FB59ED">
              <w:rPr>
                <w:rFonts w:ascii="Lucida Sans" w:hAnsi="Lucida Sans"/>
                <w:b/>
                <w:color w:val="000000"/>
                <w:sz w:val="18"/>
                <w:u w:val="single"/>
              </w:rPr>
              <w:t>or</w:t>
            </w:r>
          </w:p>
          <w:p w14:paraId="7A2FF2D9" w14:textId="77777777" w:rsidR="00743989" w:rsidRPr="00FB59ED" w:rsidRDefault="00743989" w:rsidP="00D361A0">
            <w:pPr>
              <w:suppressAutoHyphens/>
              <w:autoSpaceDE w:val="0"/>
              <w:autoSpaceDN w:val="0"/>
              <w:adjustRightInd w:val="0"/>
              <w:spacing w:before="60" w:after="60" w:line="276" w:lineRule="auto"/>
              <w:ind w:left="360"/>
              <w:rPr>
                <w:rFonts w:ascii="Lucida Sans" w:hAnsi="Lucida Sans"/>
                <w:color w:val="000000"/>
                <w:sz w:val="18"/>
              </w:rPr>
            </w:pPr>
            <w:r w:rsidRPr="00FB59ED">
              <w:rPr>
                <w:rFonts w:ascii="Lucida Sans" w:hAnsi="Lucida Sans"/>
                <w:color w:val="000000"/>
                <w:sz w:val="18"/>
              </w:rPr>
              <w:t>(b)(3)(B). Where an infill project is proposed outside of the boundaries of a metropolitan planning organization, the infill project must meet the definition of a “small walkable community project” in CEQA Guidelines §15183.3(f)(5).</w:t>
            </w:r>
          </w:p>
          <w:p w14:paraId="1C845962" w14:textId="77777777" w:rsidR="00743989" w:rsidRPr="00FB59ED" w:rsidRDefault="00743989" w:rsidP="00D361A0">
            <w:pPr>
              <w:suppressAutoHyphens/>
              <w:autoSpaceDE w:val="0"/>
              <w:autoSpaceDN w:val="0"/>
              <w:adjustRightInd w:val="0"/>
              <w:spacing w:before="60" w:after="60" w:line="276" w:lineRule="auto"/>
              <w:rPr>
                <w:rFonts w:ascii="Lucida Sans" w:hAnsi="Lucida Sans"/>
                <w:color w:val="000000"/>
                <w:sz w:val="18"/>
              </w:rPr>
            </w:pPr>
            <w:r w:rsidRPr="00FB59ED">
              <w:rPr>
                <w:rFonts w:ascii="Lucida Sans" w:hAnsi="Lucida Sans"/>
                <w:color w:val="000000"/>
                <w:sz w:val="18"/>
              </w:rPr>
              <w:t>((CEQA Guidelines §15183.3(b)(3))</w:t>
            </w:r>
          </w:p>
        </w:tc>
        <w:tc>
          <w:tcPr>
            <w:tcW w:w="2880" w:type="dxa"/>
            <w:tcBorders>
              <w:top w:val="single" w:sz="4" w:space="0" w:color="auto"/>
              <w:left w:val="nil"/>
              <w:bottom w:val="single" w:sz="4" w:space="0" w:color="auto"/>
              <w:right w:val="nil"/>
            </w:tcBorders>
            <w:shd w:val="clear" w:color="auto" w:fill="auto"/>
          </w:tcPr>
          <w:p w14:paraId="1C65C378" w14:textId="77777777" w:rsidR="00743989" w:rsidRPr="00FB59ED" w:rsidRDefault="00743989" w:rsidP="00D361A0">
            <w:pPr>
              <w:suppressAutoHyphens/>
              <w:autoSpaceDE w:val="0"/>
              <w:autoSpaceDN w:val="0"/>
              <w:adjustRightInd w:val="0"/>
              <w:spacing w:before="60" w:after="60" w:line="276" w:lineRule="auto"/>
              <w:jc w:val="center"/>
              <w:rPr>
                <w:rFonts w:ascii="Lucida Sans" w:hAnsi="Lucida Sans"/>
                <w:color w:val="000000"/>
                <w:sz w:val="18"/>
              </w:rPr>
            </w:pPr>
            <w:r w:rsidRPr="00FB59ED">
              <w:rPr>
                <w:rFonts w:ascii="Lucida Sans" w:hAnsi="Lucida Sans"/>
                <w:color w:val="000000"/>
                <w:sz w:val="18"/>
              </w:rPr>
              <w:t>Yes</w:t>
            </w:r>
          </w:p>
        </w:tc>
      </w:tr>
      <w:tr w:rsidR="00743989" w:rsidRPr="00FB59ED" w14:paraId="79C512CF" w14:textId="77777777" w:rsidTr="00D361A0">
        <w:trPr>
          <w:cantSplit/>
        </w:trPr>
        <w:tc>
          <w:tcPr>
            <w:tcW w:w="13158" w:type="dxa"/>
            <w:gridSpan w:val="3"/>
            <w:tcBorders>
              <w:top w:val="single" w:sz="4" w:space="0" w:color="auto"/>
              <w:left w:val="nil"/>
              <w:bottom w:val="nil"/>
              <w:right w:val="nil"/>
            </w:tcBorders>
          </w:tcPr>
          <w:p w14:paraId="6F53B7F5" w14:textId="77777777" w:rsidR="00743989" w:rsidRPr="00FB59ED" w:rsidRDefault="00743989" w:rsidP="00D361A0">
            <w:pPr>
              <w:suppressAutoHyphens/>
              <w:spacing w:before="60" w:after="60"/>
              <w:rPr>
                <w:rFonts w:ascii="Lucida Sans" w:hAnsi="Lucida Sans"/>
                <w:sz w:val="16"/>
              </w:rPr>
            </w:pPr>
            <w:r w:rsidRPr="00FB59ED">
              <w:rPr>
                <w:rFonts w:ascii="Lucida Sans" w:hAnsi="Lucida Sans"/>
                <w:sz w:val="16"/>
              </w:rPr>
              <w:t>a. Where a project includes some combination of residential, commercial and retail, office building, transit station, and/or schools, the performance standards in this section that apply to the predominant use shall govern the entire project</w:t>
            </w:r>
          </w:p>
        </w:tc>
      </w:tr>
    </w:tbl>
    <w:p w14:paraId="186F831E" w14:textId="77777777" w:rsidR="00743989" w:rsidRPr="000A4E6A" w:rsidRDefault="00743989" w:rsidP="00743989"/>
    <w:p w14:paraId="0905C961" w14:textId="77777777" w:rsidR="00743989" w:rsidRDefault="00743989"/>
    <w:sectPr w:rsidR="0074398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832380" w14:textId="77777777" w:rsidR="00216D3E" w:rsidRDefault="001A380C">
      <w:r>
        <w:separator/>
      </w:r>
    </w:p>
  </w:endnote>
  <w:endnote w:type="continuationSeparator" w:id="0">
    <w:p w14:paraId="1EAB63DC" w14:textId="77777777" w:rsidR="00216D3E" w:rsidRDefault="001A3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79E7B7" w14:textId="31E7B9FA" w:rsidR="00FB59ED" w:rsidRDefault="00743989" w:rsidP="0089045D">
    <w:pPr>
      <w:pStyle w:val="Footer"/>
      <w:jc w:val="center"/>
    </w:pPr>
    <w:r>
      <w:rPr>
        <w:lang w:val="en-US"/>
      </w:rPr>
      <w:t>NOFA</w:t>
    </w:r>
    <w:r>
      <w:rPr>
        <w:lang w:val="en-US"/>
      </w:rPr>
      <w:tab/>
    </w:r>
    <w:r>
      <w:rPr>
        <w:lang w:val="en-US"/>
      </w:rPr>
      <w:tab/>
    </w:r>
    <w:r>
      <w:fldChar w:fldCharType="begin"/>
    </w:r>
    <w:r>
      <w:instrText xml:space="preserve"> PAGE   \* MERGEFORMAT </w:instrText>
    </w:r>
    <w:r>
      <w:fldChar w:fldCharType="separate"/>
    </w:r>
    <w:r w:rsidR="00803CD2">
      <w:rPr>
        <w:noProof/>
      </w:rPr>
      <w:t>1</w:t>
    </w:r>
    <w:r>
      <w:rPr>
        <w:noProof/>
      </w:rPr>
      <w:fldChar w:fldCharType="end"/>
    </w:r>
  </w:p>
  <w:p w14:paraId="5EBB06C3" w14:textId="77777777" w:rsidR="00FB59ED" w:rsidRDefault="00803C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53695E" w14:textId="77777777" w:rsidR="00216D3E" w:rsidRDefault="001A380C">
      <w:r>
        <w:separator/>
      </w:r>
    </w:p>
  </w:footnote>
  <w:footnote w:type="continuationSeparator" w:id="0">
    <w:p w14:paraId="20450E5E" w14:textId="77777777" w:rsidR="00216D3E" w:rsidRDefault="001A38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BA46A6"/>
    <w:multiLevelType w:val="hybridMultilevel"/>
    <w:tmpl w:val="1C0A11B6"/>
    <w:lvl w:ilvl="0" w:tplc="FC86627E">
      <w:start w:val="17"/>
      <w:numFmt w:val="decimal"/>
      <w:pStyle w:val="Heading2"/>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DDB344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4FE24C52"/>
    <w:multiLevelType w:val="multilevel"/>
    <w:tmpl w:val="4858B0B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upp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6B8C2D05"/>
    <w:multiLevelType w:val="multilevel"/>
    <w:tmpl w:val="E4F2D09A"/>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rPr>
        <w:b w:val="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A67"/>
    <w:rsid w:val="001538FC"/>
    <w:rsid w:val="001A380C"/>
    <w:rsid w:val="00216D3E"/>
    <w:rsid w:val="004E0800"/>
    <w:rsid w:val="005E0A67"/>
    <w:rsid w:val="00743989"/>
    <w:rsid w:val="007D3376"/>
    <w:rsid w:val="007D5F04"/>
    <w:rsid w:val="00803CD2"/>
    <w:rsid w:val="00A15054"/>
    <w:rsid w:val="00E757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41D2B"/>
  <w15:chartTrackingRefBased/>
  <w15:docId w15:val="{6E7B52D2-3989-41D1-A5A4-C0CB842CC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43989"/>
    <w:pPr>
      <w:spacing w:after="0" w:line="240" w:lineRule="auto"/>
    </w:pPr>
    <w:rPr>
      <w:rFonts w:ascii="Times New Roman" w:eastAsia="Times New Roman" w:hAnsi="Times New Roman" w:cs="Times New Roman"/>
      <w:sz w:val="24"/>
      <w:szCs w:val="20"/>
    </w:rPr>
  </w:style>
  <w:style w:type="paragraph" w:styleId="Heading2">
    <w:name w:val="heading 2"/>
    <w:basedOn w:val="Normal"/>
    <w:next w:val="Normal"/>
    <w:link w:val="Heading2Char"/>
    <w:qFormat/>
    <w:rsid w:val="00743989"/>
    <w:pPr>
      <w:keepNext/>
      <w:numPr>
        <w:numId w:val="1"/>
      </w:numPr>
      <w:spacing w:before="240" w:after="60"/>
      <w:outlineLvl w:val="1"/>
    </w:pPr>
    <w:rPr>
      <w:rFonts w:ascii="Arial" w:hAnsi="Arial"/>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E0A67"/>
    <w:rPr>
      <w:color w:val="0000FF"/>
      <w:u w:val="single"/>
    </w:rPr>
  </w:style>
  <w:style w:type="character" w:styleId="FollowedHyperlink">
    <w:name w:val="FollowedHyperlink"/>
    <w:basedOn w:val="DefaultParagraphFont"/>
    <w:uiPriority w:val="99"/>
    <w:semiHidden/>
    <w:unhideWhenUsed/>
    <w:rsid w:val="005E0A67"/>
    <w:rPr>
      <w:color w:val="954F72" w:themeColor="followedHyperlink"/>
      <w:u w:val="single"/>
    </w:rPr>
  </w:style>
  <w:style w:type="character" w:customStyle="1" w:styleId="Heading2Char">
    <w:name w:val="Heading 2 Char"/>
    <w:basedOn w:val="DefaultParagraphFont"/>
    <w:link w:val="Heading2"/>
    <w:rsid w:val="00743989"/>
    <w:rPr>
      <w:rFonts w:ascii="Arial" w:eastAsia="Times New Roman" w:hAnsi="Arial" w:cs="Times New Roman"/>
      <w:b/>
      <w:i/>
      <w:sz w:val="24"/>
      <w:szCs w:val="20"/>
    </w:rPr>
  </w:style>
  <w:style w:type="character" w:styleId="CommentReference">
    <w:name w:val="annotation reference"/>
    <w:semiHidden/>
    <w:rsid w:val="00743989"/>
    <w:rPr>
      <w:sz w:val="16"/>
      <w:szCs w:val="16"/>
    </w:rPr>
  </w:style>
  <w:style w:type="paragraph" w:styleId="CommentText">
    <w:name w:val="annotation text"/>
    <w:basedOn w:val="Normal"/>
    <w:link w:val="CommentTextChar"/>
    <w:semiHidden/>
    <w:rsid w:val="00743989"/>
    <w:rPr>
      <w:sz w:val="20"/>
    </w:rPr>
  </w:style>
  <w:style w:type="character" w:customStyle="1" w:styleId="CommentTextChar">
    <w:name w:val="Comment Text Char"/>
    <w:basedOn w:val="DefaultParagraphFont"/>
    <w:link w:val="CommentText"/>
    <w:semiHidden/>
    <w:rsid w:val="00743989"/>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7439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3989"/>
    <w:rPr>
      <w:rFonts w:ascii="Segoe UI" w:eastAsia="Times New Roman" w:hAnsi="Segoe UI" w:cs="Segoe UI"/>
      <w:sz w:val="18"/>
      <w:szCs w:val="18"/>
    </w:rPr>
  </w:style>
  <w:style w:type="paragraph" w:styleId="Footer">
    <w:name w:val="footer"/>
    <w:basedOn w:val="Normal"/>
    <w:link w:val="FooterChar"/>
    <w:uiPriority w:val="99"/>
    <w:unhideWhenUsed/>
    <w:rsid w:val="00743989"/>
    <w:pPr>
      <w:tabs>
        <w:tab w:val="center" w:pos="4680"/>
        <w:tab w:val="right" w:pos="9360"/>
      </w:tabs>
    </w:pPr>
    <w:rPr>
      <w:szCs w:val="24"/>
      <w:lang w:val="x-none" w:eastAsia="x-none"/>
    </w:rPr>
  </w:style>
  <w:style w:type="character" w:customStyle="1" w:styleId="FooterChar">
    <w:name w:val="Footer Char"/>
    <w:basedOn w:val="DefaultParagraphFont"/>
    <w:link w:val="Footer"/>
    <w:uiPriority w:val="99"/>
    <w:rsid w:val="00743989"/>
    <w:rPr>
      <w:rFonts w:ascii="Times New Roman" w:eastAsia="Times New Roman" w:hAnsi="Times New Roman" w:cs="Times New Roman"/>
      <w:sz w:val="24"/>
      <w:szCs w:val="24"/>
      <w:lang w:val="x-none" w:eastAsia="x-none"/>
    </w:rPr>
  </w:style>
  <w:style w:type="paragraph" w:styleId="CommentSubject">
    <w:name w:val="annotation subject"/>
    <w:basedOn w:val="CommentText"/>
    <w:next w:val="CommentText"/>
    <w:link w:val="CommentSubjectChar"/>
    <w:uiPriority w:val="99"/>
    <w:semiHidden/>
    <w:unhideWhenUsed/>
    <w:rsid w:val="001538FC"/>
    <w:rPr>
      <w:b/>
      <w:bCs/>
    </w:rPr>
  </w:style>
  <w:style w:type="character" w:customStyle="1" w:styleId="CommentSubjectChar">
    <w:name w:val="Comment Subject Char"/>
    <w:basedOn w:val="CommentTextChar"/>
    <w:link w:val="CommentSubject"/>
    <w:uiPriority w:val="99"/>
    <w:semiHidden/>
    <w:rsid w:val="001538FC"/>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A15054"/>
    <w:pPr>
      <w:tabs>
        <w:tab w:val="center" w:pos="4680"/>
        <w:tab w:val="right" w:pos="9360"/>
      </w:tabs>
    </w:pPr>
  </w:style>
  <w:style w:type="character" w:customStyle="1" w:styleId="HeaderChar">
    <w:name w:val="Header Char"/>
    <w:basedOn w:val="DefaultParagraphFont"/>
    <w:link w:val="Header"/>
    <w:uiPriority w:val="99"/>
    <w:rsid w:val="00A15054"/>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457761">
      <w:bodyDiv w:val="1"/>
      <w:marLeft w:val="0"/>
      <w:marRight w:val="0"/>
      <w:marTop w:val="0"/>
      <w:marBottom w:val="0"/>
      <w:divBdr>
        <w:top w:val="none" w:sz="0" w:space="0" w:color="auto"/>
        <w:left w:val="none" w:sz="0" w:space="0" w:color="auto"/>
        <w:bottom w:val="none" w:sz="0" w:space="0" w:color="auto"/>
        <w:right w:val="none" w:sz="0" w:space="0" w:color="auto"/>
      </w:divBdr>
    </w:div>
    <w:div w:id="810054250">
      <w:bodyDiv w:val="1"/>
      <w:marLeft w:val="0"/>
      <w:marRight w:val="0"/>
      <w:marTop w:val="0"/>
      <w:marBottom w:val="0"/>
      <w:divBdr>
        <w:top w:val="none" w:sz="0" w:space="0" w:color="auto"/>
        <w:left w:val="none" w:sz="0" w:space="0" w:color="auto"/>
        <w:bottom w:val="none" w:sz="0" w:space="0" w:color="auto"/>
        <w:right w:val="none" w:sz="0" w:space="0" w:color="auto"/>
      </w:divBdr>
    </w:div>
    <w:div w:id="1914777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aklandca.gov/resources/nofa-opportuniti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alepa.ca.gov" TargetMode="External"/><Relationship Id="rId4" Type="http://schemas.openxmlformats.org/officeDocument/2006/relationships/settings" Target="settings.xml"/><Relationship Id="rId9" Type="http://schemas.openxmlformats.org/officeDocument/2006/relationships/hyperlink" Target="https://www.oaklandca.gov/resources/nofa-opportun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CF0670-FA59-4C83-B8AF-99C876B13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7</Pages>
  <Words>2255</Words>
  <Characters>12860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Cleveland, Everett Jr</dc:creator>
  <cp:keywords/>
  <dc:description/>
  <cp:lastModifiedBy>Cleveland, Everett Jr</cp:lastModifiedBy>
  <cp:revision>8</cp:revision>
  <dcterms:created xsi:type="dcterms:W3CDTF">2019-07-31T18:49:00Z</dcterms:created>
  <dcterms:modified xsi:type="dcterms:W3CDTF">2019-08-08T00:06:00Z</dcterms:modified>
</cp:coreProperties>
</file>