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0911" w14:textId="77777777" w:rsidR="00DE6913" w:rsidRDefault="00DE6913" w:rsidP="00DE691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7E0F43E" w14:textId="7B40A5A0" w:rsidR="00DE6913" w:rsidRPr="00DE6913" w:rsidRDefault="00DE6913" w:rsidP="00DE6913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DE691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Executive Summary</w:t>
      </w:r>
    </w:p>
    <w:p w14:paraId="74083E08" w14:textId="47ADAE5A" w:rsidR="00DE6913" w:rsidRDefault="00DE6913" w:rsidP="004C06E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This would be a brief summary of the key topics</w:t>
      </w:r>
      <w:r w:rsidR="00A3348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covered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</w:t>
      </w:r>
      <w:r w:rsidR="00A3348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main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takeaways from the report. The summary provides an overview of the contents and the intent of</w:t>
      </w:r>
      <w:r w:rsidR="00133E2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report, </w:t>
      </w:r>
      <w:r w:rsidR="00A3348C">
        <w:rPr>
          <w:rFonts w:ascii="Helvetica" w:eastAsia="Times New Roman" w:hAnsi="Helvetica" w:cs="Times New Roman"/>
          <w:color w:val="000000"/>
          <w:sz w:val="18"/>
          <w:szCs w:val="18"/>
        </w:rPr>
        <w:t>and describes a vision for the next commission and redistricting process.</w:t>
      </w:r>
    </w:p>
    <w:p w14:paraId="3C7EC2F0" w14:textId="77777777" w:rsidR="00DE6913" w:rsidRPr="00DE6913" w:rsidRDefault="00DE6913" w:rsidP="00DE6913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AB08E5B" w14:textId="4252209C" w:rsidR="00DE6913" w:rsidRPr="00DE6913" w:rsidRDefault="00DE6913" w:rsidP="00DE6913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DE691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Introduction</w:t>
      </w:r>
    </w:p>
    <w:p w14:paraId="7C06B208" w14:textId="5FED8886" w:rsidR="00DE6913" w:rsidRDefault="00DE6913" w:rsidP="00DE6913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6913">
        <w:rPr>
          <w:rFonts w:ascii="Helvetica" w:eastAsia="Times New Roman" w:hAnsi="Helvetica" w:cs="Times New Roman"/>
          <w:color w:val="000000"/>
          <w:sz w:val="18"/>
          <w:szCs w:val="18"/>
        </w:rPr>
        <w:t>History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of the Commission 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starting with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Measure DD,</w:t>
      </w:r>
      <w:r w:rsidR="00A3348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957A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mention </w:t>
      </w:r>
      <w:r w:rsidR="00A3348C">
        <w:rPr>
          <w:rFonts w:ascii="Helvetica" w:eastAsia="Times New Roman" w:hAnsi="Helvetica" w:cs="Times New Roman"/>
          <w:color w:val="000000"/>
          <w:sz w:val="18"/>
          <w:szCs w:val="18"/>
        </w:rPr>
        <w:t>the community groups that worked to put the measure on the ballot,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overwhelming </w:t>
      </w:r>
      <w:r w:rsidR="00133E2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voter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support for an independent commission</w:t>
      </w:r>
    </w:p>
    <w:p w14:paraId="2E50E34F" w14:textId="00980CEE" w:rsidR="00A3348C" w:rsidRDefault="00A3348C" w:rsidP="00DE6913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City Charter </w:t>
      </w:r>
      <w:r w:rsidR="00957AC2">
        <w:rPr>
          <w:rFonts w:ascii="Helvetica" w:eastAsia="Times New Roman" w:hAnsi="Helvetica" w:cs="Times New Roman"/>
          <w:color w:val="000000"/>
          <w:sz w:val="18"/>
          <w:szCs w:val="18"/>
        </w:rPr>
        <w:t>amendment</w:t>
      </w:r>
      <w:r w:rsidR="00133E2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that defines the Commission and its mandate, legal requirements, et al</w:t>
      </w:r>
    </w:p>
    <w:p w14:paraId="12A3F85A" w14:textId="77777777" w:rsidR="00A3348C" w:rsidRDefault="00A3348C" w:rsidP="00A3348C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Application and selection process of Commissioners</w:t>
      </w:r>
    </w:p>
    <w:p w14:paraId="6453F524" w14:textId="77777777" w:rsidR="00A3348C" w:rsidRPr="00A3348C" w:rsidRDefault="00A3348C" w:rsidP="00A3348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7E8CFFF" w14:textId="556A0B85" w:rsidR="00DE6913" w:rsidRPr="00A3348C" w:rsidRDefault="00DE6913" w:rsidP="00A3348C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A334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Committees and Consultants</w:t>
      </w:r>
    </w:p>
    <w:p w14:paraId="62A34161" w14:textId="1C6DBC1A" w:rsidR="00A3348C" w:rsidRDefault="00A3348C" w:rsidP="00A3348C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Description of the formation of ad-hoc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>/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sub-committees.</w:t>
      </w:r>
      <w:r w:rsidR="00133E2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Definitions of the scope of work for each committee, legal requirements </w:t>
      </w:r>
      <w:r w:rsidR="007D291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for committee meetings and activities. Goals, milestones, outcomes from each committee (Individual Committee 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>public documents</w:t>
      </w:r>
      <w:r w:rsidR="007D291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can be attached here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>, or linked to the website,</w:t>
      </w:r>
      <w:r w:rsidR="007D291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or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attached</w:t>
      </w:r>
      <w:r w:rsidR="007D291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as an Appendix).</w:t>
      </w:r>
    </w:p>
    <w:p w14:paraId="2D8CB113" w14:textId="0971F375" w:rsidR="007D291B" w:rsidRDefault="007D291B" w:rsidP="00A3348C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B959AAA" w14:textId="099ED1B7" w:rsidR="004C06E2" w:rsidRDefault="007D291B" w:rsidP="004C06E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Identification of each contracted consultant and expertise, </w:t>
      </w:r>
      <w:r w:rsidR="004C06E2">
        <w:rPr>
          <w:rFonts w:ascii="Helvetica" w:eastAsia="Times New Roman" w:hAnsi="Helvetica" w:cs="Times New Roman"/>
          <w:color w:val="000000"/>
          <w:sz w:val="18"/>
          <w:szCs w:val="18"/>
        </w:rPr>
        <w:t>plus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scope of work, how many people on each consultant team, RFP and selection process. RFP’s, contracts, budgets, reports attached as an Appendix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(or links to the website)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57BDE4F2" w14:textId="77777777" w:rsidR="004C06E2" w:rsidRDefault="004C06E2" w:rsidP="004C06E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980437A" w14:textId="545EFCC9" w:rsidR="00DE6913" w:rsidRPr="004C06E2" w:rsidRDefault="00DE6913" w:rsidP="004C06E2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4C06E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Budget and City Staff</w:t>
      </w:r>
    </w:p>
    <w:p w14:paraId="78BDFF25" w14:textId="3095B112" w:rsidR="004C06E2" w:rsidRDefault="00314495" w:rsidP="004C06E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role of </w:t>
      </w:r>
      <w:r w:rsidR="00B83AD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City Administrator’s Office to provide project management and city staff resources for the Commission and the redistricting </w:t>
      </w:r>
      <w:proofErr w:type="spellStart"/>
      <w:r w:rsidR="00B83AD7">
        <w:rPr>
          <w:rFonts w:ascii="Helvetica" w:eastAsia="Times New Roman" w:hAnsi="Helvetica" w:cs="Times New Roman"/>
          <w:color w:val="000000"/>
          <w:sz w:val="18"/>
          <w:szCs w:val="18"/>
        </w:rPr>
        <w:t>process.</w:t>
      </w:r>
      <w:proofErr w:type="spellEnd"/>
      <w:r w:rsidR="00B83AD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Identification of city staff team members and roles. History for the initial budget (</w:t>
      </w:r>
      <w:r w:rsidR="00BA021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also </w:t>
      </w:r>
      <w:r w:rsidR="00B83AD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refer to City Charter) and budget allocations, including management and oversight of the budget. </w:t>
      </w:r>
      <w:r w:rsidR="00BA0217">
        <w:rPr>
          <w:rFonts w:ascii="Helvetica" w:eastAsia="Times New Roman" w:hAnsi="Helvetica" w:cs="Times New Roman"/>
          <w:color w:val="000000"/>
          <w:sz w:val="18"/>
          <w:szCs w:val="18"/>
        </w:rPr>
        <w:t>Describe the Commission’s decision to request more funds from the City Council (and outcome).</w:t>
      </w:r>
    </w:p>
    <w:p w14:paraId="010BEEB3" w14:textId="049755BA" w:rsidR="004C06E2" w:rsidRDefault="00BA0217" w:rsidP="00BA0217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Include all budget numbers here.</w:t>
      </w:r>
    </w:p>
    <w:p w14:paraId="3CC0655C" w14:textId="77777777" w:rsidR="00BA0217" w:rsidRDefault="00BA0217" w:rsidP="00BA0217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8A970FE" w14:textId="04A68BCC" w:rsidR="00DE6913" w:rsidRDefault="00DE6913" w:rsidP="00BA02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E691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Training</w:t>
      </w:r>
      <w:r w:rsidRPr="00DE6913">
        <w:rPr>
          <w:rFonts w:ascii="Helvetica" w:eastAsia="Times New Roman" w:hAnsi="Helvetica" w:cs="Times New Roman"/>
          <w:color w:val="000000"/>
          <w:sz w:val="18"/>
          <w:szCs w:val="18"/>
        </w:rPr>
        <w:t>: Government</w:t>
      </w:r>
      <w:r w:rsidR="00A40DC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Pr="00DE6913">
        <w:rPr>
          <w:rFonts w:ascii="Helvetica" w:eastAsia="Times New Roman" w:hAnsi="Helvetica" w:cs="Times New Roman"/>
          <w:color w:val="000000"/>
          <w:sz w:val="18"/>
          <w:szCs w:val="18"/>
        </w:rPr>
        <w:t>Civic</w:t>
      </w:r>
      <w:r w:rsidR="00A40DC0">
        <w:rPr>
          <w:rFonts w:ascii="Helvetica" w:eastAsia="Times New Roman" w:hAnsi="Helvetica" w:cs="Times New Roman"/>
          <w:color w:val="000000"/>
          <w:sz w:val="18"/>
          <w:szCs w:val="18"/>
        </w:rPr>
        <w:t>,</w:t>
      </w:r>
      <w:r w:rsidRPr="00DE691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Ethics</w:t>
      </w:r>
      <w:r w:rsidR="00A40DC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Legal</w:t>
      </w:r>
      <w:r w:rsidRPr="00DE691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Training</w:t>
      </w:r>
      <w:r w:rsidR="00F43286">
        <w:rPr>
          <w:rFonts w:ascii="Helvetica" w:eastAsia="Times New Roman" w:hAnsi="Helvetica" w:cs="Times New Roman"/>
          <w:color w:val="000000"/>
          <w:sz w:val="18"/>
          <w:szCs w:val="18"/>
        </w:rPr>
        <w:t>s</w:t>
      </w:r>
    </w:p>
    <w:p w14:paraId="036E5B96" w14:textId="77777777" w:rsidR="00817FB8" w:rsidRPr="00817FB8" w:rsidRDefault="00817FB8" w:rsidP="00817FB8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17FB8">
        <w:rPr>
          <w:rFonts w:ascii="Helvetica" w:eastAsia="Times New Roman" w:hAnsi="Helvetica" w:cs="Times New Roman"/>
          <w:color w:val="000000"/>
          <w:sz w:val="18"/>
          <w:szCs w:val="18"/>
        </w:rPr>
        <w:t>Brown Act and Sunshine Ordinance</w:t>
      </w:r>
    </w:p>
    <w:p w14:paraId="3BBC3207" w14:textId="77777777" w:rsidR="00817FB8" w:rsidRPr="00817FB8" w:rsidRDefault="00817FB8" w:rsidP="00817FB8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17FB8">
        <w:rPr>
          <w:rFonts w:ascii="Helvetica" w:eastAsia="Times New Roman" w:hAnsi="Helvetica" w:cs="Times New Roman"/>
          <w:color w:val="000000"/>
          <w:sz w:val="18"/>
          <w:szCs w:val="18"/>
        </w:rPr>
        <w:t>Government Ethics Act</w:t>
      </w:r>
    </w:p>
    <w:p w14:paraId="3DD81AA6" w14:textId="77777777" w:rsidR="00817FB8" w:rsidRPr="00817FB8" w:rsidRDefault="00817FB8" w:rsidP="00817FB8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17FB8">
        <w:rPr>
          <w:rFonts w:ascii="Helvetica" w:eastAsia="Times New Roman" w:hAnsi="Helvetica" w:cs="Times New Roman"/>
          <w:color w:val="000000"/>
          <w:sz w:val="18"/>
          <w:szCs w:val="18"/>
        </w:rPr>
        <w:t>Robert’s Rules of Order</w:t>
      </w:r>
    </w:p>
    <w:p w14:paraId="23EB8D01" w14:textId="77777777" w:rsidR="00E11B3F" w:rsidRDefault="00E11B3F" w:rsidP="00E11B3F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A40DC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Race and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E</w:t>
      </w:r>
      <w:r w:rsidRPr="00A40DC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quity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T</w:t>
      </w:r>
      <w:r w:rsidRPr="00A40DC0">
        <w:rPr>
          <w:rFonts w:ascii="Helvetica" w:eastAsia="Times New Roman" w:hAnsi="Helvetica" w:cs="Times New Roman"/>
          <w:color w:val="000000"/>
          <w:sz w:val="18"/>
          <w:szCs w:val="18"/>
        </w:rPr>
        <w:t>raining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(December 9, 2020)</w:t>
      </w:r>
    </w:p>
    <w:p w14:paraId="6323BF2C" w14:textId="77777777" w:rsidR="00E47C32" w:rsidRDefault="00817FB8" w:rsidP="00E47C32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17FB8">
        <w:rPr>
          <w:rFonts w:ascii="Helvetica" w:eastAsia="Times New Roman" w:hAnsi="Helvetica" w:cs="Times New Roman"/>
          <w:color w:val="000000"/>
          <w:sz w:val="18"/>
          <w:szCs w:val="18"/>
        </w:rPr>
        <w:t>California Common Cause Workshop</w:t>
      </w:r>
    </w:p>
    <w:p w14:paraId="05F11829" w14:textId="60F5E59D" w:rsidR="00E47C32" w:rsidRPr="00E47C32" w:rsidRDefault="00E47C32" w:rsidP="00E47C32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47C32">
        <w:rPr>
          <w:rFonts w:ascii="Helvetica" w:eastAsia="Times New Roman" w:hAnsi="Helvetica" w:cs="Times New Roman"/>
          <w:color w:val="000000"/>
          <w:sz w:val="18"/>
          <w:szCs w:val="18"/>
        </w:rPr>
        <w:t>Public Ethics Training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(March 2021)</w:t>
      </w:r>
    </w:p>
    <w:p w14:paraId="1A9D1BFC" w14:textId="0B17CEB9" w:rsidR="00A40DC0" w:rsidRDefault="00A40DC0" w:rsidP="00E47C32">
      <w:pPr>
        <w:pStyle w:val="ListParagraph"/>
        <w:numPr>
          <w:ilvl w:val="1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47C32">
        <w:rPr>
          <w:rFonts w:ascii="Helvetica" w:eastAsia="Times New Roman" w:hAnsi="Helvetica" w:cs="Times New Roman"/>
          <w:color w:val="000000"/>
          <w:sz w:val="18"/>
          <w:szCs w:val="18"/>
        </w:rPr>
        <w:t>Redistricting Law &amp; Criteria, Communities of Interest Strategies</w:t>
      </w:r>
      <w:r w:rsidRPr="00E47C3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(July 28, 2021)</w:t>
      </w:r>
    </w:p>
    <w:p w14:paraId="02DC10CC" w14:textId="77777777" w:rsidR="00E11B3F" w:rsidRPr="00E11B3F" w:rsidRDefault="00E11B3F" w:rsidP="00E11B3F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F464364" w14:textId="3910525C" w:rsidR="00BA0217" w:rsidRPr="00E11B3F" w:rsidRDefault="00E11B3F" w:rsidP="00E11B3F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E11B3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Meetings</w:t>
      </w:r>
    </w:p>
    <w:p w14:paraId="4184ED8B" w14:textId="77777777" w:rsidR="007811E7" w:rsidRDefault="00E11B3F" w:rsidP="00E11B3F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The Commission held regular monthly meetings on the second Wednesday of each month</w:t>
      </w:r>
      <w:r w:rsidR="007811E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at 5pm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beginning </w:t>
      </w:r>
      <w:r w:rsidR="003A7C4B">
        <w:rPr>
          <w:rFonts w:ascii="Helvetica" w:eastAsia="Times New Roman" w:hAnsi="Helvetica" w:cs="Times New Roman"/>
          <w:color w:val="000000"/>
          <w:sz w:val="18"/>
          <w:szCs w:val="18"/>
        </w:rPr>
        <w:t>October 2020. Special meetings were scheduled as needed to accommodate special activities, presentations, workshops and to address additional business.</w:t>
      </w:r>
      <w:r w:rsidR="007811E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Live mapping was conducted during both general and special meetings.</w:t>
      </w:r>
      <w:r w:rsidR="003A7C4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7811E7">
        <w:rPr>
          <w:rFonts w:ascii="Helvetica" w:eastAsia="Times New Roman" w:hAnsi="Helvetica" w:cs="Times New Roman"/>
          <w:color w:val="000000"/>
          <w:sz w:val="18"/>
          <w:szCs w:val="18"/>
        </w:rPr>
        <w:t>All meeting agendas included an Open Forum and public input was requested for each agenda item.</w:t>
      </w:r>
    </w:p>
    <w:p w14:paraId="6004E2F2" w14:textId="77777777" w:rsidR="007811E7" w:rsidRDefault="007811E7" w:rsidP="00E11B3F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A22186F" w14:textId="27D20834" w:rsidR="00E11B3F" w:rsidRDefault="003A7C4B" w:rsidP="00E11B3F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Each meeting was led by the Chair, along with two vice/co-chairs.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City staff members provided the technical infrastructure, administrative support for agendas and legal counsel.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D5358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City staff members were 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available to answer procedural, historical and other types of questions.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The role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>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of Chair and 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o-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hairs were determined by a simple survey of the all of the Commissioners, who expressed their individual interest to assume either or both roles</w:t>
      </w:r>
      <w:r w:rsidR="007811E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during three-month cycles. The schedule for the rotating Chair and 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="007811E7">
        <w:rPr>
          <w:rFonts w:ascii="Helvetica" w:eastAsia="Times New Roman" w:hAnsi="Helvetica" w:cs="Times New Roman"/>
          <w:color w:val="000000"/>
          <w:sz w:val="18"/>
          <w:szCs w:val="18"/>
        </w:rPr>
        <w:t>o-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="007811E7">
        <w:rPr>
          <w:rFonts w:ascii="Helvetica" w:eastAsia="Times New Roman" w:hAnsi="Helvetica" w:cs="Times New Roman"/>
          <w:color w:val="000000"/>
          <w:sz w:val="18"/>
          <w:szCs w:val="18"/>
        </w:rPr>
        <w:t>hair was set in November 2020.</w:t>
      </w:r>
    </w:p>
    <w:p w14:paraId="58C8773D" w14:textId="1D933C86" w:rsidR="00906D0A" w:rsidRDefault="00906D0A" w:rsidP="00E11B3F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485A098" w14:textId="243DAB98" w:rsidR="00906D0A" w:rsidRDefault="00906D0A" w:rsidP="00E11B3F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Meeting agendas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>: how each was determined, the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release schedule, publicly available via email and the website. Community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members who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sign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ed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up 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to the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email list</w:t>
      </w:r>
      <w:r w:rsidR="0053420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received the agenda via email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 Zoom links</w:t>
      </w:r>
      <w:r w:rsidR="00E548B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sent via email, 24 hours and 1 hour before the meeting.</w:t>
      </w:r>
    </w:p>
    <w:p w14:paraId="43D622FF" w14:textId="2D5C19D8" w:rsidR="00E11B3F" w:rsidRDefault="00E11B3F" w:rsidP="00E11B3F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76099A9" w14:textId="4A0DB2C1" w:rsidR="00DE6913" w:rsidRPr="00906D0A" w:rsidRDefault="00DE6913" w:rsidP="00906D0A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906D0A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Outreach</w:t>
      </w:r>
    </w:p>
    <w:p w14:paraId="28BB6922" w14:textId="4EFB1636" w:rsidR="006E521A" w:rsidRDefault="00477F37" w:rsidP="00906D0A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Describe the</w:t>
      </w:r>
      <w:r w:rsidR="006E52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initial plan for the Commission to perform all of its own outreach and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develop </w:t>
      </w:r>
      <w:r w:rsidR="006E52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strategies to do the outreach, including by individual committees, tapping into existing community based organizations, civic groups, school groups, </w:t>
      </w:r>
      <w:r w:rsidR="00AB128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church groups, </w:t>
      </w:r>
      <w:r w:rsidR="006E52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etc. to access their networks of even more groups and individuals.  Detail the Commission’s discussions on priorities, strategies, methodologies, etc. </w:t>
      </w:r>
      <w:r w:rsidR="00AB1282">
        <w:rPr>
          <w:rFonts w:ascii="Helvetica" w:eastAsia="Times New Roman" w:hAnsi="Helvetica" w:cs="Times New Roman"/>
          <w:color w:val="000000"/>
          <w:sz w:val="18"/>
          <w:szCs w:val="18"/>
        </w:rPr>
        <w:t>Detail the activities the Commission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ers</w:t>
      </w:r>
      <w:r w:rsidR="00AB128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AB1282">
        <w:rPr>
          <w:rFonts w:ascii="Helvetica" w:eastAsia="Times New Roman" w:hAnsi="Helvetica" w:cs="Times New Roman"/>
          <w:color w:val="000000"/>
          <w:sz w:val="18"/>
          <w:szCs w:val="18"/>
        </w:rPr>
        <w:lastRenderedPageBreak/>
        <w:t xml:space="preserve">engaged in (town halls, city council </w:t>
      </w:r>
      <w:r w:rsidR="00957A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meetings and </w:t>
      </w:r>
      <w:r w:rsidR="00AB128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newsletters, farmers’ markets, festivals, classrooms, </w:t>
      </w:r>
      <w:r w:rsidR="00957A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neighborhood meetings, </w:t>
      </w:r>
      <w:r w:rsidR="009C239F">
        <w:rPr>
          <w:rFonts w:ascii="Helvetica" w:eastAsia="Times New Roman" w:hAnsi="Helvetica" w:cs="Times New Roman"/>
          <w:color w:val="000000"/>
          <w:sz w:val="18"/>
          <w:szCs w:val="18"/>
        </w:rPr>
        <w:t>special events (SPUR, O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akland </w:t>
      </w:r>
      <w:r w:rsidR="009C239F">
        <w:rPr>
          <w:rFonts w:ascii="Helvetica" w:eastAsia="Times New Roman" w:hAnsi="Helvetica" w:cs="Times New Roman"/>
          <w:color w:val="000000"/>
          <w:sz w:val="18"/>
          <w:szCs w:val="18"/>
        </w:rPr>
        <w:t>R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ising</w:t>
      </w:r>
      <w:r w:rsidR="009C239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), </w:t>
      </w:r>
      <w:r w:rsidR="00AB1282">
        <w:rPr>
          <w:rFonts w:ascii="Helvetica" w:eastAsia="Times New Roman" w:hAnsi="Helvetica" w:cs="Times New Roman"/>
          <w:color w:val="000000"/>
          <w:sz w:val="18"/>
          <w:szCs w:val="18"/>
        </w:rPr>
        <w:t>etc.)</w:t>
      </w:r>
      <w:r w:rsidR="00957AC2">
        <w:rPr>
          <w:rFonts w:ascii="Helvetica" w:eastAsia="Times New Roman" w:hAnsi="Helvetica" w:cs="Times New Roman"/>
          <w:color w:val="000000"/>
          <w:sz w:val="18"/>
          <w:szCs w:val="18"/>
        </w:rPr>
        <w:t>. Include activities and opportunities identified by the Commission but did not necessarily succeed in doing.</w:t>
      </w:r>
    </w:p>
    <w:p w14:paraId="472FDB7E" w14:textId="77777777" w:rsidR="006E521A" w:rsidRDefault="006E521A" w:rsidP="00906D0A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FF3DCFC" w14:textId="01C3B44B" w:rsidR="00DE6913" w:rsidRDefault="00957AC2" w:rsidP="00906D0A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Discuss the d</w:t>
      </w:r>
      <w:r w:rsidR="006E52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etermination of the need for an outside consultant to perform extensive community outreach, with specific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expertise and </w:t>
      </w:r>
      <w:r w:rsidR="006E52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priorities. Describe the process and timeline for selecting the community outreach consultant. </w:t>
      </w:r>
      <w:r w:rsidR="00477F3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Describe the consultant’s approach, outreach plan, and deliverables </w:t>
      </w:r>
      <w:r w:rsidR="00477F37">
        <w:rPr>
          <w:rFonts w:ascii="Helvetica" w:eastAsia="Times New Roman" w:hAnsi="Helvetica" w:cs="Times New Roman"/>
          <w:color w:val="000000"/>
          <w:sz w:val="18"/>
          <w:szCs w:val="18"/>
        </w:rPr>
        <w:t>(Outreach consultant’s RFP and final report attached as an Appendix).</w:t>
      </w:r>
    </w:p>
    <w:p w14:paraId="4D9FC630" w14:textId="77777777" w:rsidR="00906D0A" w:rsidRPr="00DE6913" w:rsidRDefault="00906D0A" w:rsidP="00DE691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9717B4D" w14:textId="60FA75E1" w:rsidR="00DE6913" w:rsidRPr="00AB1282" w:rsidRDefault="00DE6913" w:rsidP="00AB1282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AB128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Mapping</w:t>
      </w:r>
    </w:p>
    <w:p w14:paraId="0669EFAA" w14:textId="7C0E6E38" w:rsidR="00C74524" w:rsidRDefault="006B46AD" w:rsidP="00AB128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This section of the report should </w:t>
      </w:r>
      <w:r w:rsidR="00232DF9">
        <w:rPr>
          <w:rFonts w:ascii="Helvetica" w:eastAsia="Times New Roman" w:hAnsi="Helvetica" w:cs="Times New Roman"/>
          <w:color w:val="000000"/>
          <w:sz w:val="18"/>
          <w:szCs w:val="18"/>
        </w:rPr>
        <w:t>be substantial. It would minimally encompass</w:t>
      </w:r>
      <w:r w:rsidR="00D11EAF">
        <w:rPr>
          <w:rFonts w:ascii="Helvetica" w:eastAsia="Times New Roman" w:hAnsi="Helvetica" w:cs="Times New Roman"/>
          <w:color w:val="000000"/>
          <w:sz w:val="18"/>
          <w:szCs w:val="18"/>
        </w:rPr>
        <w:t>: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Commission’s intent to adopt a fair and equitable map for Oaklanders;</w:t>
      </w:r>
      <w:r w:rsidR="00232DF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timeline from the </w:t>
      </w:r>
      <w:r w:rsidR="00232DF9">
        <w:rPr>
          <w:rFonts w:ascii="Helvetica" w:eastAsia="Times New Roman" w:hAnsi="Helvetica" w:cs="Times New Roman"/>
          <w:color w:val="000000"/>
          <w:sz w:val="18"/>
          <w:szCs w:val="18"/>
        </w:rPr>
        <w:t>first training with Redistricting Partners</w:t>
      </w:r>
      <w:r w:rsidR="00232DF9">
        <w:rPr>
          <w:rFonts w:ascii="Helvetica" w:eastAsia="Times New Roman" w:hAnsi="Helvetica" w:cs="Times New Roman"/>
          <w:color w:val="000000"/>
          <w:sz w:val="18"/>
          <w:szCs w:val="18"/>
        </w:rPr>
        <w:t>, to the first public mapping, to the first live mapping</w:t>
      </w:r>
      <w:r w:rsidR="00D11EAF">
        <w:rPr>
          <w:rFonts w:ascii="Helvetica" w:eastAsia="Times New Roman" w:hAnsi="Helvetica" w:cs="Times New Roman"/>
          <w:color w:val="000000"/>
          <w:sz w:val="18"/>
          <w:szCs w:val="18"/>
        </w:rPr>
        <w:t>;</w:t>
      </w:r>
      <w:r w:rsidR="00232DF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detai</w:t>
      </w:r>
      <w:r w:rsidR="00D11EAF">
        <w:rPr>
          <w:rFonts w:ascii="Helvetica" w:eastAsia="Times New Roman" w:hAnsi="Helvetica" w:cs="Times New Roman"/>
          <w:color w:val="000000"/>
          <w:sz w:val="18"/>
          <w:szCs w:val="18"/>
        </w:rPr>
        <w:t>ls of</w:t>
      </w:r>
      <w:r w:rsidR="00232DF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evolutions of the various maps</w:t>
      </w:r>
      <w:r w:rsidR="00D11EAF">
        <w:rPr>
          <w:rFonts w:ascii="Helvetica" w:eastAsia="Times New Roman" w:hAnsi="Helvetica" w:cs="Times New Roman"/>
          <w:color w:val="000000"/>
          <w:sz w:val="18"/>
          <w:szCs w:val="18"/>
        </w:rPr>
        <w:t>;</w:t>
      </w:r>
      <w:r w:rsidR="00F017C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define the data that accompanied each draft map;</w:t>
      </w:r>
      <w:r w:rsidR="00D11EA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>a final analysis of the process by the Commission; an analysis of the final, new map (include Dept. of Race &amp; Equity’s analysis, if available).</w:t>
      </w:r>
    </w:p>
    <w:p w14:paraId="31AC5632" w14:textId="3B7385AB" w:rsidR="00C74524" w:rsidRDefault="00C74524" w:rsidP="00AB128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9DBD23A" w14:textId="793E0B85" w:rsidR="00C74524" w:rsidRDefault="00C74524" w:rsidP="00AB1282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74524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Include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:</w:t>
      </w:r>
    </w:p>
    <w:p w14:paraId="03892C0F" w14:textId="76115080" w:rsidR="00AB1282" w:rsidRDefault="00C74524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Describe </w:t>
      </w:r>
      <w:r w:rsidR="00232DF9" w:rsidRPr="00C74524">
        <w:rPr>
          <w:rFonts w:ascii="Helvetica" w:eastAsia="Times New Roman" w:hAnsi="Helvetica" w:cs="Times New Roman"/>
          <w:color w:val="000000"/>
          <w:sz w:val="18"/>
          <w:szCs w:val="18"/>
        </w:rPr>
        <w:t>the legal framework for redistricting (VRA, CA Fair Maps Act, Oakland City Charter)</w:t>
      </w:r>
    </w:p>
    <w:p w14:paraId="69DED824" w14:textId="4F9C107A" w:rsidR="00C74524" w:rsidRDefault="00C74524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order of </w:t>
      </w:r>
      <w:r w:rsidR="00E310F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redistricting </w:t>
      </w:r>
      <w:proofErr w:type="spellStart"/>
      <w:r w:rsidR="00E310F7">
        <w:rPr>
          <w:rFonts w:ascii="Helvetica" w:eastAsia="Times New Roman" w:hAnsi="Helvetica" w:cs="Times New Roman"/>
          <w:color w:val="000000"/>
          <w:sz w:val="18"/>
          <w:szCs w:val="18"/>
        </w:rPr>
        <w:t>criteria</w:t>
      </w:r>
      <w:r w:rsidR="00E310F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</w:rPr>
        <w:t>within the legal framework</w:t>
      </w:r>
      <w:r w:rsidR="00E310F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(equal population, contiguity, compactness, etc.)</w:t>
      </w:r>
    </w:p>
    <w:p w14:paraId="41FA396C" w14:textId="58618A62" w:rsidR="00C74524" w:rsidRDefault="00C74524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Communities of Interest (COI definition(s) and position of the priority of COI in redistricting criteria)</w:t>
      </w:r>
    </w:p>
    <w:p w14:paraId="3106A60C" w14:textId="6BDCF7ED" w:rsidR="00D11EAF" w:rsidRDefault="00D11EAF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Census data (what data is included, </w:t>
      </w:r>
      <w:r w:rsidR="005206C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late/unpredictable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availability, concepts and interpretation</w:t>
      </w:r>
      <w:r w:rsidR="005206C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of concepts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2BBB7B0D" w14:textId="16817039" w:rsidR="00C74524" w:rsidRDefault="00C74524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Forms of public testimony (how to submit, when and how was it shared publicly, especially the written)</w:t>
      </w:r>
    </w:p>
    <w:p w14:paraId="7EBAF778" w14:textId="7C783C24" w:rsidR="00BB6BD2" w:rsidRDefault="00BB6BD2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Hand drawn maps by the public</w:t>
      </w:r>
    </w:p>
    <w:p w14:paraId="7A07E8DD" w14:textId="31B70328" w:rsidR="00C74524" w:rsidRDefault="00C74524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</w:rPr>
        <w:t>DistrictR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(what is it, how does it work, how many maps were submitted)</w:t>
      </w:r>
    </w:p>
    <w:p w14:paraId="5500D452" w14:textId="66CDCFD1" w:rsidR="00C74524" w:rsidRDefault="00D11EAF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Commission’s process for live mapping (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discuss the Commission’s intent and the attempt to apply a methodology; number and frequency of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meetings dedicated to live mapping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>;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how much time in each meeting dedicated to live mapping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>;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how time and schedule constraints affected the mapping process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>; the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decision making process for voting to adopt and eliminate maps, etc.)</w:t>
      </w:r>
    </w:p>
    <w:p w14:paraId="3969055F" w14:textId="180B590B" w:rsidR="00D11EAF" w:rsidRPr="00C74524" w:rsidRDefault="00D11EAF" w:rsidP="00C74524">
      <w:pPr>
        <w:pStyle w:val="ListParagraph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Commission’s final adoption </w:t>
      </w:r>
      <w:r w:rsidR="00B766C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of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a new map for the City of Oakland (</w:t>
      </w:r>
      <w:r w:rsidR="00C30E7F">
        <w:rPr>
          <w:rFonts w:ascii="Helvetica" w:eastAsia="Times New Roman" w:hAnsi="Helvetica" w:cs="Times New Roman"/>
          <w:color w:val="000000"/>
          <w:sz w:val="18"/>
          <w:szCs w:val="18"/>
        </w:rPr>
        <w:t>summarize why the new map was adopted)</w:t>
      </w:r>
    </w:p>
    <w:p w14:paraId="1FC1C925" w14:textId="684E5AB1" w:rsidR="00AB1282" w:rsidRDefault="00AB1282" w:rsidP="00AB1282">
      <w:pPr>
        <w:ind w:left="360"/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</w:p>
    <w:p w14:paraId="519404F3" w14:textId="2FB90B33" w:rsidR="00DE6913" w:rsidRPr="00F017CC" w:rsidRDefault="00DE6913" w:rsidP="00F017CC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F017C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De-Brief</w:t>
      </w:r>
    </w:p>
    <w:p w14:paraId="68EF8276" w14:textId="13921A62" w:rsidR="00F017CC" w:rsidRPr="00F017CC" w:rsidRDefault="00F017CC" w:rsidP="00F017CC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017C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Include all of the observations, concerns, criticisms, etc. offered by the Commissioners in the general and special meetings (organize and condense for repetition and clarity). Include the ad-hoc committees </w:t>
      </w:r>
      <w:r w:rsidR="00E62381">
        <w:rPr>
          <w:rFonts w:ascii="Helvetica" w:eastAsia="Times New Roman" w:hAnsi="Helvetica" w:cs="Times New Roman"/>
          <w:color w:val="000000"/>
          <w:sz w:val="18"/>
          <w:szCs w:val="18"/>
        </w:rPr>
        <w:t>report summaries</w:t>
      </w:r>
      <w:r w:rsidR="009B36A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here </w:t>
      </w:r>
      <w:r w:rsidR="00E62381">
        <w:rPr>
          <w:rFonts w:ascii="Helvetica" w:eastAsia="Times New Roman" w:hAnsi="Helvetica" w:cs="Times New Roman"/>
          <w:color w:val="000000"/>
          <w:sz w:val="18"/>
          <w:szCs w:val="18"/>
        </w:rPr>
        <w:t>and/</w:t>
      </w:r>
      <w:r w:rsidR="009B36A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or </w:t>
      </w:r>
      <w:r w:rsidR="00E6238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full reports </w:t>
      </w:r>
      <w:r w:rsidR="009B36A2">
        <w:rPr>
          <w:rFonts w:ascii="Helvetica" w:eastAsia="Times New Roman" w:hAnsi="Helvetica" w:cs="Times New Roman"/>
          <w:color w:val="000000"/>
          <w:sz w:val="18"/>
          <w:szCs w:val="18"/>
        </w:rPr>
        <w:t>as an Appendix</w:t>
      </w:r>
      <w:r w:rsidR="00CB7E09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28A474EC" w14:textId="77777777" w:rsidR="00F017CC" w:rsidRDefault="00F017CC" w:rsidP="00DE691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68EBF29" w14:textId="668844B8" w:rsidR="00DE6913" w:rsidRPr="00E62381" w:rsidRDefault="00DE6913" w:rsidP="00E62381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E62381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Challenges, Lessons Learned, and Recommendations</w:t>
      </w:r>
    </w:p>
    <w:p w14:paraId="7FF90613" w14:textId="630331D1" w:rsidR="00F017CC" w:rsidRDefault="00E62381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Include all of the suggestions, ideas, hopes, etc. offered by the Commissioners (similar format as previous section, with a positive, productive tone: less a laundry list and more an opportunity to transition from </w:t>
      </w:r>
      <w:r w:rsidRPr="00E62381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what happened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to </w:t>
      </w:r>
      <w:r w:rsidRPr="00E62381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what could or can happen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  <w:r w:rsidR="00622AC2">
        <w:rPr>
          <w:rFonts w:ascii="Helvetica" w:eastAsia="Times New Roman" w:hAnsi="Helvetica" w:cs="Times New Roman"/>
          <w:color w:val="000000"/>
          <w:sz w:val="18"/>
          <w:szCs w:val="18"/>
        </w:rPr>
        <w:t>. Recommendations could include: changes to the City Charter; a longer timeline for the entire redistricting process; a bigger budget; more engagement with groups who were represented in the Commission’s meetings; (</w:t>
      </w:r>
      <w:r w:rsidR="00B766C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refer to </w:t>
      </w:r>
      <w:r w:rsidR="00622A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our existing list </w:t>
      </w:r>
      <w:r w:rsidR="00622AC2" w:rsidRPr="00B766CE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and</w:t>
      </w:r>
      <w:r w:rsidR="00622A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add more ideas).</w:t>
      </w:r>
    </w:p>
    <w:p w14:paraId="0C9B158A" w14:textId="34961737" w:rsidR="00CB7E09" w:rsidRDefault="00CB7E09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D0568C7" w14:textId="5391854A" w:rsidR="00CB7E09" w:rsidRDefault="00CB7E09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Also include any formally submitted recommendations by the public (e.g., The Oakland LWV formal letter submitted</w:t>
      </w:r>
    </w:p>
    <w:p w14:paraId="42C1C667" w14:textId="77777777" w:rsidR="00E62381" w:rsidRDefault="00E62381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D485C6B" w14:textId="095AC22D" w:rsidR="00DE6913" w:rsidRPr="00622AC2" w:rsidRDefault="00DE6913" w:rsidP="00E62381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622AC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A Proposal for Future Commissions</w:t>
      </w:r>
    </w:p>
    <w:p w14:paraId="0DA9A37A" w14:textId="37F14548" w:rsidR="00C826E1" w:rsidRDefault="00E62381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 summary of </w:t>
      </w:r>
      <w:r w:rsidR="00622AC2">
        <w:rPr>
          <w:rFonts w:ascii="Helvetica" w:eastAsia="Times New Roman" w:hAnsi="Helvetica" w:cs="Times New Roman"/>
          <w:color w:val="000000"/>
          <w:sz w:val="18"/>
          <w:szCs w:val="18"/>
        </w:rPr>
        <w:t>the Commission’s vision for the next Commission.</w:t>
      </w:r>
    </w:p>
    <w:p w14:paraId="3DFBB49F" w14:textId="7C4D0CF4" w:rsidR="00622AC2" w:rsidRDefault="00622AC2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2F6DAA3" w14:textId="77777777" w:rsidR="00622AC2" w:rsidRPr="00DE6913" w:rsidRDefault="00622AC2" w:rsidP="00E6238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C0E2426" w14:textId="36A5D8E7" w:rsidR="00DE6913" w:rsidRPr="00C826E1" w:rsidRDefault="00DE6913" w:rsidP="005206CB">
      <w:pPr>
        <w:ind w:firstLine="360"/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DE6913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Appendix / Appendices</w:t>
      </w:r>
    </w:p>
    <w:p w14:paraId="137ED4F0" w14:textId="30C1A7F2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Glossary of Terms and Definitions</w:t>
      </w:r>
    </w:p>
    <w:p w14:paraId="1054C828" w14:textId="7C861415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Bylaws and Rules of Procedure Committee De-Brief Report</w:t>
      </w:r>
    </w:p>
    <w:p w14:paraId="0B267026" w14:textId="32E691F2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Communications Committee De-Brief Report</w:t>
      </w:r>
    </w:p>
    <w:p w14:paraId="5279AE48" w14:textId="5381C922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Consultant Selection Committee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De-Brief Report</w:t>
      </w:r>
    </w:p>
    <w:p w14:paraId="5FE4F225" w14:textId="208D80DD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CBO De-Brief Report</w:t>
      </w:r>
    </w:p>
    <w:p w14:paraId="6F9566F7" w14:textId="0E76016F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FBO De-Brief Report</w:t>
      </w:r>
    </w:p>
    <w:p w14:paraId="6021B7E5" w14:textId="613629DC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Government and School Board Committee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De-Brief Report</w:t>
      </w:r>
    </w:p>
    <w:p w14:paraId="75F0B748" w14:textId="66E24C0C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RFP for Mapping Consultant</w:t>
      </w:r>
    </w:p>
    <w:p w14:paraId="128C6229" w14:textId="734CB3F7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lastRenderedPageBreak/>
        <w:t xml:space="preserve">Redistricting Partners Final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Report</w:t>
      </w:r>
    </w:p>
    <w:p w14:paraId="60A11100" w14:textId="1F5EE309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RFP for Community Outreach Consultant</w:t>
      </w:r>
    </w:p>
    <w:p w14:paraId="1638889E" w14:textId="3DBBABB3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Eastside Arts Alliance and Outreach by Design Final Report</w:t>
      </w:r>
    </w:p>
    <w:p w14:paraId="63B6C160" w14:textId="1210C481" w:rsid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Oakland City Staff Final Report</w:t>
      </w:r>
    </w:p>
    <w:p w14:paraId="284F4D46" w14:textId="77777777" w:rsidR="00C826E1" w:rsidRPr="00C826E1" w:rsidRDefault="00C826E1" w:rsidP="00C826E1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435DEB1" w14:textId="77777777" w:rsidR="00DB2F0E" w:rsidRDefault="00DB2F0E"/>
    <w:sectPr w:rsidR="00DB2F0E" w:rsidSect="00D329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1549" w14:textId="77777777" w:rsidR="005145B6" w:rsidRDefault="005145B6" w:rsidP="00F75F77">
      <w:r>
        <w:separator/>
      </w:r>
    </w:p>
  </w:endnote>
  <w:endnote w:type="continuationSeparator" w:id="0">
    <w:p w14:paraId="224D8FD3" w14:textId="77777777" w:rsidR="005145B6" w:rsidRDefault="005145B6" w:rsidP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8772" w14:textId="77777777" w:rsidR="005145B6" w:rsidRDefault="005145B6" w:rsidP="00F75F77">
      <w:r>
        <w:separator/>
      </w:r>
    </w:p>
  </w:footnote>
  <w:footnote w:type="continuationSeparator" w:id="0">
    <w:p w14:paraId="2A9416A0" w14:textId="77777777" w:rsidR="005145B6" w:rsidRDefault="005145B6" w:rsidP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846A" w14:textId="67113D6F" w:rsidR="00F75F77" w:rsidRDefault="00F75F77" w:rsidP="00F75F77">
    <w:pPr>
      <w:rPr>
        <w:rFonts w:ascii="Helvetica" w:eastAsia="Times New Roman" w:hAnsi="Helvetica" w:cs="Times New Roman"/>
        <w:color w:val="000000"/>
        <w:sz w:val="18"/>
        <w:szCs w:val="18"/>
      </w:rPr>
    </w:pPr>
    <w:r w:rsidRPr="00DE6913">
      <w:rPr>
        <w:rFonts w:ascii="Helvetica" w:eastAsia="Times New Roman" w:hAnsi="Helvetica" w:cs="Times New Roman"/>
        <w:color w:val="FF0000"/>
        <w:sz w:val="18"/>
        <w:szCs w:val="18"/>
      </w:rPr>
      <w:t>[DRAFT]</w:t>
    </w:r>
    <w:r>
      <w:rPr>
        <w:rFonts w:ascii="Helvetica" w:eastAsia="Times New Roman" w:hAnsi="Helvetica" w:cs="Times New Roman"/>
        <w:color w:val="000000"/>
        <w:sz w:val="18"/>
        <w:szCs w:val="18"/>
      </w:rPr>
      <w:t xml:space="preserve"> </w:t>
    </w:r>
    <w:r w:rsidRPr="00DE6913">
      <w:rPr>
        <w:rFonts w:ascii="Helvetica" w:eastAsia="Times New Roman" w:hAnsi="Helvetica" w:cs="Times New Roman"/>
        <w:b/>
        <w:bCs/>
        <w:color w:val="000000"/>
        <w:sz w:val="18"/>
        <w:szCs w:val="18"/>
      </w:rPr>
      <w:t>Charter Report Outline</w:t>
    </w:r>
    <w:r w:rsidRPr="00133E28">
      <w:rPr>
        <w:rFonts w:ascii="Helvetica" w:eastAsia="Times New Roman" w:hAnsi="Helvetica" w:cs="Times New Roman"/>
        <w:color w:val="000000"/>
        <w:sz w:val="18"/>
        <w:szCs w:val="18"/>
      </w:rPr>
      <w:t xml:space="preserve"> (or Table of Contents</w:t>
    </w:r>
    <w:r>
      <w:rPr>
        <w:rFonts w:ascii="Helvetica" w:eastAsia="Times New Roman" w:hAnsi="Helvetica" w:cs="Times New Roman"/>
        <w:color w:val="000000"/>
        <w:sz w:val="18"/>
        <w:szCs w:val="18"/>
      </w:rPr>
      <w:t>)</w:t>
    </w:r>
  </w:p>
  <w:p w14:paraId="1B6EB5F3" w14:textId="6AD99054" w:rsidR="00F75F77" w:rsidRPr="00F75F77" w:rsidRDefault="00F75F77" w:rsidP="00F75F77">
    <w:pPr>
      <w:rPr>
        <w:rFonts w:ascii="Helvetica" w:eastAsia="Times New Roman" w:hAnsi="Helvetica" w:cs="Times New Roman"/>
        <w:b/>
        <w:bCs/>
        <w:color w:val="000000"/>
        <w:sz w:val="16"/>
        <w:szCs w:val="16"/>
      </w:rPr>
    </w:pPr>
    <w:r w:rsidRPr="00D53584">
      <w:rPr>
        <w:rFonts w:ascii="Helvetica" w:eastAsia="Times New Roman" w:hAnsi="Helvetica" w:cs="Times New Roman"/>
        <w:color w:val="767171" w:themeColor="background2" w:themeShade="80"/>
        <w:sz w:val="16"/>
        <w:szCs w:val="16"/>
      </w:rPr>
      <w:t>Version 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C9E"/>
    <w:multiLevelType w:val="hybridMultilevel"/>
    <w:tmpl w:val="8A186078"/>
    <w:lvl w:ilvl="0" w:tplc="8ADCA690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ACC"/>
    <w:multiLevelType w:val="hybridMultilevel"/>
    <w:tmpl w:val="B21ED782"/>
    <w:lvl w:ilvl="0" w:tplc="2A008714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6C28"/>
    <w:multiLevelType w:val="hybridMultilevel"/>
    <w:tmpl w:val="029087CA"/>
    <w:lvl w:ilvl="0" w:tplc="1150B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07A5"/>
    <w:multiLevelType w:val="hybridMultilevel"/>
    <w:tmpl w:val="C87CF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0CB2"/>
    <w:multiLevelType w:val="hybridMultilevel"/>
    <w:tmpl w:val="0F1E39B6"/>
    <w:lvl w:ilvl="0" w:tplc="BB2C3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3"/>
    <w:rsid w:val="00133E28"/>
    <w:rsid w:val="00232DF9"/>
    <w:rsid w:val="002B203E"/>
    <w:rsid w:val="00314495"/>
    <w:rsid w:val="003A7C4B"/>
    <w:rsid w:val="00477F37"/>
    <w:rsid w:val="004C06E2"/>
    <w:rsid w:val="005145B6"/>
    <w:rsid w:val="005206CB"/>
    <w:rsid w:val="0053420E"/>
    <w:rsid w:val="00622AC2"/>
    <w:rsid w:val="006B46AD"/>
    <w:rsid w:val="006E521A"/>
    <w:rsid w:val="007811E7"/>
    <w:rsid w:val="007D291B"/>
    <w:rsid w:val="00817FB8"/>
    <w:rsid w:val="00906D0A"/>
    <w:rsid w:val="00957AC2"/>
    <w:rsid w:val="009B36A2"/>
    <w:rsid w:val="009C239F"/>
    <w:rsid w:val="00A3348C"/>
    <w:rsid w:val="00A40DC0"/>
    <w:rsid w:val="00AB1282"/>
    <w:rsid w:val="00B766CE"/>
    <w:rsid w:val="00B83AD7"/>
    <w:rsid w:val="00BA0217"/>
    <w:rsid w:val="00BB6BD2"/>
    <w:rsid w:val="00C30E7F"/>
    <w:rsid w:val="00C74524"/>
    <w:rsid w:val="00C826E1"/>
    <w:rsid w:val="00CB7E09"/>
    <w:rsid w:val="00CC0F68"/>
    <w:rsid w:val="00D11EAF"/>
    <w:rsid w:val="00D329DE"/>
    <w:rsid w:val="00D53584"/>
    <w:rsid w:val="00DB2F0E"/>
    <w:rsid w:val="00DE6913"/>
    <w:rsid w:val="00E11B3F"/>
    <w:rsid w:val="00E310F7"/>
    <w:rsid w:val="00E47C32"/>
    <w:rsid w:val="00E548BD"/>
    <w:rsid w:val="00E62381"/>
    <w:rsid w:val="00F017CC"/>
    <w:rsid w:val="00F43286"/>
    <w:rsid w:val="00F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59466"/>
  <w15:chartTrackingRefBased/>
  <w15:docId w15:val="{798E8FE4-4D83-2D43-838E-D47634CA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77"/>
  </w:style>
  <w:style w:type="paragraph" w:styleId="Footer">
    <w:name w:val="footer"/>
    <w:basedOn w:val="Normal"/>
    <w:link w:val="FooterChar"/>
    <w:uiPriority w:val="99"/>
    <w:unhideWhenUsed/>
    <w:rsid w:val="00F7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Goode</dc:creator>
  <cp:keywords/>
  <dc:description/>
  <cp:lastModifiedBy>Stephanie Goode</cp:lastModifiedBy>
  <cp:revision>19</cp:revision>
  <dcterms:created xsi:type="dcterms:W3CDTF">2022-06-06T20:54:00Z</dcterms:created>
  <dcterms:modified xsi:type="dcterms:W3CDTF">2022-06-06T23:16:00Z</dcterms:modified>
</cp:coreProperties>
</file>